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EAC" w:rsidRPr="009C4EAC" w:rsidRDefault="009C4EAC" w:rsidP="009C4EAC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9C4EA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9C4EA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9C4EA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Configurar un cliente </w:t>
      </w:r>
      <w:proofErr w:type="spellStart"/>
      <w:r w:rsidRPr="009C4EA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WiFi</w:t>
      </w:r>
      <w:proofErr w:type="spellEnd"/>
      <w:r w:rsidRPr="009C4EA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de largo alcance.</w:t>
      </w:r>
    </w:p>
    <w:p w:rsidR="00BA600F" w:rsidRDefault="00BA600F"/>
    <w:p w:rsidR="009C4EAC" w:rsidRDefault="009C4EAC"/>
    <w:p w:rsidR="009C4EAC" w:rsidRDefault="009C4EAC"/>
    <w:p w:rsidR="009C4EAC" w:rsidRPr="009C4EAC" w:rsidRDefault="009C4EAC" w:rsidP="009C4E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Nota: 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Esta guía es para radios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, los pasos para configurar los radios non-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(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Legacy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) son diferentes y no están incluidos en este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articulo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1. Estas instrucciones asumen que su radio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esta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valores de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fabrica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por favor devuelva a valores de fabrica antes de proceder. Esto es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critico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, especialmente si se encuentra solucionando un problema.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2. Utilizando su PC con </w:t>
      </w: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Windows 7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o con su equipo </w:t>
      </w: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Mac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configurado en la subred 192.168.1.x, conecte su radio usando un cable Ethernet. El puerto Ethernet cuenta con detección automática. No es requerido el uso de cable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cross-over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3. Utilizando un navegador web, introduzca la dirección </w:t>
      </w: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192.168.1.20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en la barra URL, para ingresar a la consola de configuración del radio.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4. Introduzca “</w:t>
      </w:r>
      <w:proofErr w:type="spellStart"/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ubnt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” como cuenta de administración y “</w:t>
      </w:r>
      <w:proofErr w:type="spellStart"/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ubnt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” como contraseña.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Instrucciones de configuración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(Cambie SOLAMENTE los elementos mostrados, dejando otros en los valores predeterminados):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 xml:space="preserve">A.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Elija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 xml:space="preserve">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pestaña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 </w:t>
      </w: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val="en-US" w:eastAsia="es-MX"/>
        </w:rPr>
        <w:t>Network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.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– Network Mode: Router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br/>
        <w:t> – WAN Network Settings &gt; NAT: [X] Enable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br/>
        <w:t> – LAN Network Settings &gt; DHCP Server &gt; (*) Enabled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br/>
        <w:t> – Press [Change] button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Aquí termina la configuración inicial.</w:t>
      </w:r>
    </w:p>
    <w:p w:rsidR="009C4EAC" w:rsidRPr="009C4EAC" w:rsidRDefault="009C4EAC" w:rsidP="009C4EAC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4665980"/>
            <wp:effectExtent l="0" t="0" r="7620" b="1270"/>
            <wp:docPr id="2" name="Imagen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B. Para utilizar esta radio como su nuevo adaptador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-Fi, debe: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– Deshabilite el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interno de sus dispositivos.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> – Configure su computadora para “Obtener dirección IP automáticamente” DHCP.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> – Conecte el radio Ubiquiti en el puerto Ethernet de su dispositivo.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 xml:space="preserve"> – Encienda su radio Ubiquiti, usando el cable y el adaptador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que esta incluidos en su equipo.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Nota: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El cable Ethernet blindado reduce la posibilidad de daño eléctrico en el radio. Es particularmente importante cuando se montan los radios en casas rodantes y barcos.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C. Enlazar (como cliente) a un Access Point.</w:t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– Ingrese a la consola de configuración del radio ingresando a la dirección 192.168.1.1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> – Seleccione el apartado </w:t>
      </w: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Wireless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> – Seleccione la opción </w:t>
      </w: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SSID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y elija el Access Point al que desea enlazarse.</w:t>
      </w:r>
    </w:p>
    <w:p w:rsidR="009C4EAC" w:rsidRPr="009C4EAC" w:rsidRDefault="009C4EAC" w:rsidP="009C4EAC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4879340"/>
            <wp:effectExtent l="0" t="0" r="7620" b="0"/>
            <wp:docPr id="1" name="Imagen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AC" w:rsidRPr="009C4EAC" w:rsidRDefault="009C4EAC" w:rsidP="009C4EAC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C4EAC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Nota: </w:t>
      </w:r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Piense en la “Señal” como una temperatura. Entre “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negativa” más “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fria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”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ó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“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debil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”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sera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la señal. Seleccione el Access Point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apropiado, con el nivel de señal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fuerte como se muestra en esta columna de la ventana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Site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Survey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. Adicionalmente, una señal que es </w:t>
      </w:r>
      <w:proofErr w:type="spellStart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</w:t>
      </w:r>
      <w:proofErr w:type="spellEnd"/>
      <w:r w:rsidRPr="009C4EAC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“templada” que -45 es “muy caliente” y podrá causar un rendimiento pobre.</w:t>
      </w:r>
    </w:p>
    <w:p w:rsidR="009C4EAC" w:rsidRDefault="009C4EAC"/>
    <w:p w:rsidR="009C4EAC" w:rsidRDefault="009C4EAC"/>
    <w:p w:rsidR="009C4EAC" w:rsidRDefault="009C4EAC"/>
    <w:sectPr w:rsidR="009C4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AC"/>
    <w:rsid w:val="009C4EAC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604F"/>
  <w15:chartTrackingRefBased/>
  <w15:docId w15:val="{01DEF9A2-CF2A-46A3-B818-45F1FD53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9C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ocimiento.syscom.mx/wp-content/uploads/2017/10/vvv-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onocimiento.syscom.mx/wp-content/uploads/2017/10/ccc-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2020-05-06T03:05:00Z</dcterms:created>
  <dcterms:modified xsi:type="dcterms:W3CDTF">2020-05-06T03:06:00Z</dcterms:modified>
</cp:coreProperties>
</file>