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как-вставить-статьи-в-confluence"/>
    <w:p>
      <w:pPr>
        <w:pStyle w:val="Heading1"/>
      </w:pPr>
      <w:r>
        <w:t xml:space="preserve">Как вставить статьи в Confluence</w:t>
      </w:r>
    </w:p>
    <w:p>
      <w:pPr>
        <w:pStyle w:val="FirstParagraph"/>
      </w:pPr>
      <w:r>
        <w:t xml:space="preserve">Откройте</w:t>
      </w:r>
      <w:r>
        <w:t xml:space="preserve"> </w:t>
      </w:r>
      <w:r>
        <w:rPr>
          <w:bCs/>
          <w:b/>
        </w:rPr>
        <w:t xml:space="preserve">Word-файлы</w:t>
      </w:r>
      <w:r>
        <w:t xml:space="preserve"> </w:t>
      </w:r>
      <w:r>
        <w:t xml:space="preserve">(</w:t>
      </w:r>
      <w:r>
        <w:rPr>
          <w:rStyle w:val="VerbatimChar"/>
        </w:rPr>
        <w:t xml:space="preserve">01</w:t>
      </w:r>
      <w:r>
        <w:t xml:space="preserve">–</w:t>
      </w:r>
      <w:r>
        <w:rPr>
          <w:rStyle w:val="VerbatimChar"/>
        </w:rPr>
        <w:t xml:space="preserve">07</w:t>
      </w:r>
      <w:r>
        <w:t xml:space="preserve">). Не вставляйте Markdown из блокнота — таблицы поедут.</w:t>
      </w:r>
    </w:p>
    <w:bookmarkStart w:id="20" w:name="порядок"/>
    <w:p>
      <w:pPr>
        <w:pStyle w:val="Heading2"/>
      </w:pPr>
      <w:r>
        <w:t xml:space="preserve">Порядок</w:t>
      </w:r>
    </w:p>
    <w:p>
      <w:pPr>
        <w:numPr>
          <w:ilvl w:val="0"/>
          <w:numId w:val="1001"/>
        </w:numPr>
        <w:pStyle w:val="Compact"/>
      </w:pPr>
      <w:r>
        <w:t xml:space="preserve">Распакуйте архив.</w:t>
      </w:r>
    </w:p>
    <w:p>
      <w:pPr>
        <w:numPr>
          <w:ilvl w:val="0"/>
          <w:numId w:val="1001"/>
        </w:numPr>
        <w:pStyle w:val="Compact"/>
      </w:pPr>
      <w:r>
        <w:t xml:space="preserve">В Confluence создайте</w:t>
      </w:r>
      <w:r>
        <w:t xml:space="preserve"> </w:t>
      </w:r>
      <w:r>
        <w:rPr>
          <w:bCs/>
          <w:b/>
        </w:rPr>
        <w:t xml:space="preserve">родительскую</w:t>
      </w:r>
      <w:r>
        <w:t xml:space="preserve"> </w:t>
      </w:r>
      <w:r>
        <w:t xml:space="preserve">страницу с названием</w:t>
      </w:r>
      <w:r>
        <w:t xml:space="preserve"> </w:t>
      </w:r>
      <w:r>
        <w:rPr>
          <w:bCs/>
          <w:b/>
        </w:rPr>
        <w:t xml:space="preserve">НТ пререквизиты NCINS в SFA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Откройте файл</w:t>
      </w:r>
      <w:r>
        <w:t xml:space="preserve"> </w:t>
      </w:r>
      <w:r>
        <w:rPr>
          <w:rStyle w:val="VerbatimChar"/>
        </w:rPr>
        <w:t xml:space="preserve">01_НТ_пререквизиты_NCINS_в_SFA.docx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Ctrl+A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В пустой странице Confluence:</w:t>
      </w:r>
      <w:r>
        <w:t xml:space="preserve"> </w:t>
      </w:r>
      <w:r>
        <w:rPr>
          <w:rStyle w:val="VerbatimChar"/>
        </w:rPr>
        <w:t xml:space="preserve">Ctrl+V</w:t>
      </w:r>
      <w:r>
        <w:t xml:space="preserve"> </w:t>
      </w:r>
      <w:r>
        <w:t xml:space="preserve">(визуальный редактор).</w:t>
      </w:r>
    </w:p>
    <w:p>
      <w:pPr>
        <w:numPr>
          <w:ilvl w:val="0"/>
          <w:numId w:val="1001"/>
        </w:numPr>
        <w:pStyle w:val="Compact"/>
      </w:pPr>
      <w:r>
        <w:t xml:space="preserve">Publish.</w:t>
      </w:r>
    </w:p>
    <w:p>
      <w:pPr>
        <w:numPr>
          <w:ilvl w:val="0"/>
          <w:numId w:val="1001"/>
        </w:numPr>
        <w:pStyle w:val="Compact"/>
      </w:pPr>
      <w:r>
        <w:t xml:space="preserve">Для файлов</w:t>
      </w:r>
      <w:r>
        <w:t xml:space="preserve"> </w:t>
      </w:r>
      <w:r>
        <w:rPr>
          <w:rStyle w:val="VerbatimChar"/>
        </w:rPr>
        <w:t xml:space="preserve">02</w:t>
      </w:r>
      <w:r>
        <w:t xml:space="preserve">–</w:t>
      </w:r>
      <w:r>
        <w:rPr>
          <w:rStyle w:val="VerbatimChar"/>
        </w:rPr>
        <w:t xml:space="preserve">07</w:t>
      </w:r>
      <w:r>
        <w:t xml:space="preserve"> </w:t>
      </w:r>
      <w:r>
        <w:t xml:space="preserve">создайте</w:t>
      </w:r>
      <w:r>
        <w:t xml:space="preserve"> </w:t>
      </w:r>
      <w:r>
        <w:rPr>
          <w:bCs/>
          <w:b/>
        </w:rPr>
        <w:t xml:space="preserve">дочерние</w:t>
      </w:r>
      <w:r>
        <w:t xml:space="preserve"> </w:t>
      </w:r>
      <w:r>
        <w:t xml:space="preserve">страницы (Create → под текущей родительской) с теми же названиями, что в таблице, и вставьте так же.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 страницы Confluence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01_НТ_пререквизиты_NCINS_в_SFA.docx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НТ пререквизиты NCINS в 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родитель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02_Анкета_для_входа_NCINS_в_SFA.docx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Анкета для входа NCINS в SFA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дочерняя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03_Заглушки_и_интеграции.docx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Заглушки и интеграции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дочерняя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04_Готовность_тестовой_среды.docx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Готовность тестовой среды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дочерняя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05_Критерии_НТ_и_заведение_задачи.docx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Критерии НТ и заведение задачи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дочерняя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06_База_расчёта_нагрузки.docx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База расчёта нагрузки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дочерняя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07_Состав_сервисов.docx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сервисов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дочерняя</w:t>
            </w:r>
          </w:p>
        </w:tc>
      </w:tr>
    </w:tbl>
    <w:bookmarkEnd w:id="20"/>
    <w:bookmarkStart w:id="21" w:name="после-вставки"/>
    <w:p>
      <w:pPr>
        <w:pStyle w:val="Heading2"/>
      </w:pPr>
      <w:r>
        <w:t xml:space="preserve">После вставки</w:t>
      </w:r>
    </w:p>
    <w:p>
      <w:pPr>
        <w:numPr>
          <w:ilvl w:val="0"/>
          <w:numId w:val="1002"/>
        </w:numPr>
        <w:pStyle w:val="Compact"/>
      </w:pPr>
      <w:r>
        <w:t xml:space="preserve">На каждую страницу: макрос</w:t>
      </w:r>
      <w:r>
        <w:t xml:space="preserve"> </w:t>
      </w:r>
      <w:r>
        <w:rPr>
          <w:bCs/>
          <w:b/>
        </w:rPr>
        <w:t xml:space="preserve">Table of Contents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На родителя: макрос</w:t>
      </w:r>
      <w:r>
        <w:t xml:space="preserve"> </w:t>
      </w:r>
      <w:r>
        <w:rPr>
          <w:bCs/>
          <w:b/>
        </w:rPr>
        <w:t xml:space="preserve">Children Display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Метки:</w:t>
      </w:r>
      <w:r>
        <w:t xml:space="preserve"> </w:t>
      </w:r>
      <w:r>
        <w:rPr>
          <w:rStyle w:val="VerbatimChar"/>
        </w:rPr>
        <w:t xml:space="preserve">НТ</w:t>
      </w:r>
      <w:r>
        <w:t xml:space="preserve">,</w:t>
      </w:r>
      <w:r>
        <w:t xml:space="preserve"> </w:t>
      </w:r>
      <w:r>
        <w:rPr>
          <w:rStyle w:val="VerbatimChar"/>
        </w:rPr>
        <w:t xml:space="preserve">ЕОС.ЮЛ</w:t>
      </w:r>
      <w:r>
        <w:t xml:space="preserve">,</w:t>
      </w:r>
      <w:r>
        <w:t xml:space="preserve"> </w:t>
      </w:r>
      <w:r>
        <w:rPr>
          <w:rStyle w:val="VerbatimChar"/>
        </w:rPr>
        <w:t xml:space="preserve">NCINS</w:t>
      </w:r>
      <w:r>
        <w:t xml:space="preserve">,</w:t>
      </w:r>
      <w:r>
        <w:t xml:space="preserve"> </w:t>
      </w:r>
      <w:r>
        <w:rPr>
          <w:rStyle w:val="VerbatimChar"/>
        </w:rPr>
        <w:t xml:space="preserve">SFA</w:t>
      </w:r>
      <w:r>
        <w:t xml:space="preserve">.</w:t>
      </w:r>
    </w:p>
    <w:bookmarkEnd w:id="21"/>
    <w:bookmarkStart w:id="22" w:name="чего-не-делать"/>
    <w:p>
      <w:pPr>
        <w:pStyle w:val="Heading2"/>
      </w:pPr>
      <w:r>
        <w:t xml:space="preserve">Чего не делать</w:t>
      </w:r>
    </w:p>
    <w:p>
      <w:pPr>
        <w:numPr>
          <w:ilvl w:val="0"/>
          <w:numId w:val="1003"/>
        </w:numPr>
        <w:pStyle w:val="Compact"/>
      </w:pPr>
      <w:r>
        <w:t xml:space="preserve">Не копировать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в Confluence.</w:t>
      </w:r>
    </w:p>
    <w:p>
      <w:pPr>
        <w:numPr>
          <w:ilvl w:val="0"/>
          <w:numId w:val="1003"/>
        </w:numPr>
        <w:pStyle w:val="Compact"/>
      </w:pPr>
      <w:r>
        <w:t xml:space="preserve">Не открывать docx в Google Docs и не копировать оттуда — стили могут съехать.</w:t>
      </w:r>
    </w:p>
    <w:p>
      <w:pPr>
        <w:numPr>
          <w:ilvl w:val="0"/>
          <w:numId w:val="1003"/>
        </w:numPr>
        <w:pStyle w:val="Compact"/>
      </w:pPr>
      <w:r>
        <w:t xml:space="preserve">Не мержить эту ветку в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2026-09-18T07:36:20Z</dcterms:created>
  <dcterms:modified xsi:type="dcterms:W3CDTF">2026-09-18T07:36:20Z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