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нт-пререквизиты-ncins-в-sfa"/>
    <w:p>
      <w:pPr>
        <w:pStyle w:val="Heading1"/>
      </w:pPr>
      <w:r>
        <w:t xml:space="preserve">НТ пререквизиты NCINS в SFA</w:t>
      </w:r>
    </w:p>
    <w:p>
      <w:pPr>
        <w:pStyle w:val="FirstParagraph"/>
      </w:pPr>
      <w:r>
        <w:rPr>
          <w:bCs/>
          <w:b/>
        </w:rPr>
        <w:t xml:space="preserve">Название статьи в Confluence:</w:t>
      </w:r>
      <w:r>
        <w:t xml:space="preserve"> </w:t>
      </w:r>
      <w:r>
        <w:t xml:space="preserve">НТ пререквизиты NCINS в SFA</w:t>
      </w:r>
      <w:r>
        <w:br/>
      </w:r>
      <w:r>
        <w:rPr>
          <w:bCs/>
          <w:b/>
        </w:rPr>
        <w:t xml:space="preserve">Родительская страница:</w:t>
      </w:r>
      <w:r>
        <w:t xml:space="preserve"> </w:t>
      </w:r>
      <w:r>
        <w:t xml:space="preserve">(корневая в пространстве, например UP / ЕОС.ЮЛ)</w:t>
      </w:r>
      <w:r>
        <w:br/>
      </w:r>
      <w:r>
        <w:rPr>
          <w:bCs/>
          <w:b/>
        </w:rPr>
        <w:t xml:space="preserve">Метки (labels):</w:t>
      </w:r>
      <w:r>
        <w:t xml:space="preserve"> </w:t>
      </w:r>
      <w:r>
        <w:t xml:space="preserve">НТ, ЕОС.ЮЛ, NCINS, SFA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0.2 от 16.09.2026</w:t>
      </w:r>
    </w:p>
    <w:p>
      <w:pPr>
        <w:pStyle w:val="BlockText"/>
      </w:pPr>
      <w:r>
        <w:t xml:space="preserve">В редакторе Confluence сразу после вставки добавьте макрос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 </w:t>
      </w:r>
      <w:r>
        <w:t xml:space="preserve">(оглавление).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Этот комплект — постановка модуля</w:t>
      </w:r>
      <w:r>
        <w:t xml:space="preserve"> </w:t>
      </w:r>
      <w:r>
        <w:rPr>
          <w:bCs/>
          <w:b/>
        </w:rPr>
        <w:t xml:space="preserve">некредитного страхования ЮЛ в SFA / ЕОС.ЮЛ</w:t>
      </w:r>
      <w:r>
        <w:t xml:space="preserve"> </w:t>
      </w:r>
      <w:r>
        <w:t xml:space="preserve">(</w:t>
      </w:r>
      <w:r>
        <w:rPr>
          <w:rStyle w:val="VerbatimChar"/>
        </w:rPr>
        <w:t xml:space="preserve">ufr-eos-ul-ncins</w:t>
      </w:r>
      <w:r>
        <w:t xml:space="preserve">, UI «Страховки для бизнеса») на нагрузочное тестирование.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модуль «Нефинансовые сервисы ЮЛ» (NSSFA) и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платформа SFA ЮЛ целиком.</w:t>
      </w:r>
    </w:p>
    <w:p>
      <w:pPr>
        <w:pStyle w:val="BodyText"/>
      </w:pPr>
      <w:r>
        <w:t xml:space="preserve">Форма —</w:t>
      </w:r>
      <w:r>
        <w:t xml:space="preserve"> </w:t>
      </w:r>
      <w:r>
        <w:rPr>
          <w:bCs/>
          <w:b/>
        </w:rPr>
        <w:t xml:space="preserve">одна анкета для входа по модулю</w:t>
      </w:r>
      <w:r>
        <w:t xml:space="preserve"> </w:t>
      </w:r>
      <w:r>
        <w:t xml:space="preserve">(как в шаблоне «Передача модуля на нагрузочное тестирование»). Отдельные постановки на каждый k8s-сервис не делаются:</w:t>
      </w:r>
      <w:r>
        <w:t xml:space="preserve"> </w:t>
      </w:r>
      <w:r>
        <w:rPr>
          <w:rStyle w:val="VerbatimChar"/>
        </w:rPr>
        <w:t xml:space="preserve">gateway-router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access-checker</w:t>
      </w:r>
      <w:r>
        <w:t xml:space="preserve"> </w:t>
      </w:r>
      <w:r>
        <w:t xml:space="preserve">— инфраструктура объекта тестирования, а не самостоятельные сценарии НТ.</w:t>
      </w:r>
    </w:p>
    <w:p>
      <w:pPr>
        <w:pStyle w:val="BodyText"/>
      </w:pPr>
      <w:r>
        <w:rPr>
          <w:rStyle w:val="VerbatimChar"/>
        </w:rPr>
        <w:t xml:space="preserve">_TBD_</w:t>
      </w:r>
      <w:r>
        <w:t xml:space="preserve"> </w:t>
      </w:r>
      <w:r>
        <w:t xml:space="preserve">означает: значения нет в исходниках. Его нельзя подменять экспертной оценкой в колонке «Значение».</w:t>
      </w:r>
    </w:p>
    <w:bookmarkStart w:id="20" w:name="дерево-статей"/>
    <w:p>
      <w:pPr>
        <w:pStyle w:val="Heading2"/>
      </w:pPr>
      <w:r>
        <w:t xml:space="preserve">Дерево статей</w:t>
      </w:r>
    </w:p>
    <w:p>
      <w:pPr>
        <w:pStyle w:val="FirstParagraph"/>
      </w:pPr>
      <w:r>
        <w:t xml:space="preserve">Создайте эту страницу как родителя. Остальные шесть —</w:t>
      </w:r>
      <w:r>
        <w:t xml:space="preserve"> </w:t>
      </w:r>
      <w:r>
        <w:rPr>
          <w:bCs/>
          <w:b/>
        </w:rPr>
        <w:t xml:space="preserve">дочерние</w:t>
      </w:r>
      <w:r>
        <w:t xml:space="preserve"> </w:t>
      </w:r>
      <w:r>
        <w:t xml:space="preserve">(Create → страница → Parent = эта).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Порядок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дочерней статьи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Анкета для входа NCINS в 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объект, пререквизиты, профиль UC, стык с 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Заглушки и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системы, что мокать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Готовность тестовой среды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 ЛТ, JVM, точки наблюдения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НТ и заведение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критерии, Jira, письмо 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расчёта нагрузки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ЧПН 15 000/мес, без выдуманных ×N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сервисов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паспорт подов, не объекты НТ</w:t>
            </w:r>
          </w:p>
        </w:tc>
      </w:tr>
    </w:tbl>
    <w:p>
      <w:pPr>
        <w:pStyle w:val="BodyText"/>
      </w:pPr>
      <w:r>
        <w:t xml:space="preserve">После создания дочерних страниц вставьте на эту страницу макрос</w:t>
      </w:r>
      <w:r>
        <w:t xml:space="preserve"> </w:t>
      </w:r>
      <w:r>
        <w:rPr>
          <w:bCs/>
          <w:b/>
        </w:rPr>
        <w:t xml:space="preserve">Children Display</w:t>
      </w:r>
      <w:r>
        <w:t xml:space="preserve">.</w:t>
      </w:r>
    </w:p>
    <w:bookmarkEnd w:id="20"/>
    <w:bookmarkStart w:id="21" w:name="как-загрузить-в-confluence"/>
    <w:p>
      <w:pPr>
        <w:pStyle w:val="Heading2"/>
      </w:pPr>
      <w:r>
        <w:t xml:space="preserve">Как загрузить в Confluence</w:t>
      </w:r>
    </w:p>
    <w:p>
      <w:pPr>
        <w:numPr>
          <w:ilvl w:val="0"/>
          <w:numId w:val="1001"/>
        </w:numPr>
        <w:pStyle w:val="Compact"/>
      </w:pPr>
      <w:r>
        <w:t xml:space="preserve">Создайте родительскую страницу с названием</w:t>
      </w:r>
      <w:r>
        <w:t xml:space="preserve"> </w:t>
      </w:r>
      <w:r>
        <w:rPr>
          <w:bCs/>
          <w:b/>
        </w:rPr>
        <w:t xml:space="preserve">НТ пререквизиты NCINS в SFA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Для каждого файла из архива: Create child page → название как в таблице выше → вставьте содержимое файла (начиная с первого заголовка).</w:t>
      </w:r>
    </w:p>
    <w:p>
      <w:pPr>
        <w:numPr>
          <w:ilvl w:val="0"/>
          <w:numId w:val="1001"/>
        </w:numPr>
        <w:pStyle w:val="Compact"/>
      </w:pPr>
      <w:r>
        <w:t xml:space="preserve">Если в редакторе есть</w:t>
      </w:r>
      <w:r>
        <w:t xml:space="preserve"> </w:t>
      </w:r>
      <w:r>
        <w:rPr>
          <w:iCs/>
          <w:i/>
        </w:rPr>
        <w:t xml:space="preserve">Insert → Markup / Markdown</w:t>
      </w:r>
      <w:r>
        <w:t xml:space="preserve"> </w:t>
      </w:r>
      <w:r>
        <w:t xml:space="preserve">— вставляйте как Markdown. Иначе: визуальный редактор, таблицы копируются из Markdown-превью (GitHub/VS Code) или через Word.</w:t>
      </w:r>
    </w:p>
    <w:p>
      <w:pPr>
        <w:numPr>
          <w:ilvl w:val="0"/>
          <w:numId w:val="1001"/>
        </w:numPr>
        <w:pStyle w:val="Compact"/>
      </w:pPr>
      <w:r>
        <w:t xml:space="preserve">Добавьте макрос Table of Contents на каждую статью.</w:t>
      </w:r>
    </w:p>
    <w:p>
      <w:pPr>
        <w:numPr>
          <w:ilvl w:val="0"/>
          <w:numId w:val="1001"/>
        </w:numPr>
        <w:pStyle w:val="Compact"/>
      </w:pPr>
      <w:r>
        <w:t xml:space="preserve">Проставьте метки:</w:t>
      </w:r>
      <w:r>
        <w:t xml:space="preserve"> </w:t>
      </w:r>
      <w:r>
        <w:rPr>
          <w:rStyle w:val="VerbatimChar"/>
        </w:rPr>
        <w:t xml:space="preserve">НТ</w:t>
      </w:r>
      <w:r>
        <w:t xml:space="preserve">,</w:t>
      </w:r>
      <w:r>
        <w:t xml:space="preserve"> </w:t>
      </w:r>
      <w:r>
        <w:rPr>
          <w:rStyle w:val="VerbatimChar"/>
        </w:rPr>
        <w:t xml:space="preserve">ЕОС.ЮЛ</w:t>
      </w:r>
      <w:r>
        <w:t xml:space="preserve">,</w:t>
      </w:r>
      <w:r>
        <w:t xml:space="preserve"> </w:t>
      </w:r>
      <w:r>
        <w:rPr>
          <w:rStyle w:val="VerbatimChar"/>
        </w:rPr>
        <w:t xml:space="preserve">NCINS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SFA</w:t>
      </w:r>
      <w:r>
        <w:t xml:space="preserve">.</w:t>
      </w:r>
    </w:p>
    <w:p>
      <w:pPr>
        <w:pStyle w:val="FirstParagraph"/>
      </w:pPr>
      <w:r>
        <w:t xml:space="preserve">Секреты и пароли в статьи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выносить.</w:t>
      </w:r>
    </w:p>
    <w:bookmarkEnd w:id="21"/>
    <w:bookmarkStart w:id="22" w:name="назначение-комплекта"/>
    <w:p>
      <w:pPr>
        <w:pStyle w:val="Heading2"/>
      </w:pPr>
      <w:r>
        <w:t xml:space="preserve">Назначение комплекта</w:t>
      </w:r>
    </w:p>
    <w:p>
      <w:pPr>
        <w:pStyle w:val="FirstParagraph"/>
      </w:pPr>
      <w:r>
        <w:t xml:space="preserve">Структура разделов пререквизитов сохранена по эталону UMP (</w:t>
      </w:r>
      <w:r>
        <w:rPr>
          <w:rStyle w:val="VerbatimChar"/>
        </w:rPr>
        <w:t xml:space="preserve">НТ пререквизиты - Worker ump-*-ncins-pa</w:t>
      </w:r>
      <w:r>
        <w:t xml:space="preserve">).</w:t>
      </w:r>
    </w:p>
    <w:bookmarkEnd w:id="22"/>
    <w:bookmarkStart w:id="23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2"/>
        </w:numPr>
        <w:pStyle w:val="Compact"/>
      </w:pPr>
      <w:r>
        <w:t xml:space="preserve">helm-values и configMap модуля</w:t>
      </w:r>
      <w:r>
        <w:t xml:space="preserve"> </w:t>
      </w:r>
      <w:r>
        <w:rPr>
          <w:rStyle w:val="VerbatimChar"/>
        </w:rPr>
        <w:t xml:space="preserve">ufr-eos-ul-ncins-*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6 документов UMP «НТ пререквизиты - Worker ump-*-ncins-pa»;</w:t>
      </w:r>
    </w:p>
    <w:p>
      <w:pPr>
        <w:numPr>
          <w:ilvl w:val="0"/>
          <w:numId w:val="1002"/>
        </w:numPr>
        <w:pStyle w:val="Compact"/>
      </w:pPr>
      <w:r>
        <w:t xml:space="preserve">шаблон «Передача модуля на нагрузочное тестирование» v12;</w:t>
      </w:r>
    </w:p>
    <w:p>
      <w:pPr>
        <w:numPr>
          <w:ilvl w:val="0"/>
          <w:numId w:val="1002"/>
        </w:numPr>
        <w:pStyle w:val="Compact"/>
      </w:pPr>
      <w:r>
        <w:t xml:space="preserve">пример заведения задачи НТ ЕОС.ЮЛ;</w:t>
      </w:r>
    </w:p>
    <w:p>
      <w:pPr>
        <w:numPr>
          <w:ilvl w:val="0"/>
          <w:numId w:val="1002"/>
        </w:numPr>
        <w:pStyle w:val="Compact"/>
      </w:pPr>
      <w:r>
        <w:t xml:space="preserve">анкета NSSFA —</w:t>
      </w:r>
      <w:r>
        <w:t xml:space="preserve"> </w:t>
      </w:r>
      <w:r>
        <w:rPr>
          <w:bCs/>
          <w:b/>
        </w:rPr>
        <w:t xml:space="preserve">только как образец формы</w:t>
      </w:r>
      <w:r>
        <w:t xml:space="preserve">, не как данные NCINS.</w:t>
      </w:r>
    </w:p>
    <w:p>
      <w:pPr>
        <w:pStyle w:val="FirstParagraph"/>
      </w:pPr>
      <w:r>
        <w:t xml:space="preserve">Не использованы как факты: догадки о числе кликов/методов на заявку, SLA UMP-процессов как SLA HTTP SFA.</w:t>
      </w:r>
    </w:p>
    <w:bookmarkEnd w:id="23"/>
    <w:bookmarkStart w:id="24" w:name="что-нужно-чтобы-закрыть-_tbd_"/>
    <w:p>
      <w:pPr>
        <w:pStyle w:val="Heading2"/>
      </w:pPr>
      <w:r>
        <w:t xml:space="preserve">Что нужно, чтобы закрыть</w:t>
      </w:r>
      <w:r>
        <w:t xml:space="preserve"> </w:t>
      </w:r>
      <w:r>
        <w:rPr>
          <w:rStyle w:val="VerbatimChar"/>
        </w:rPr>
        <w:t xml:space="preserve">_TBD_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Закрывает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  <w:r>
              <w:t xml:space="preserve"> </w:t>
            </w:r>
            <w:r>
              <w:rPr>
                <w:rStyle w:val="VerbatimChar"/>
              </w:rPr>
              <w:t xml:space="preserve">ufr-eos-ul-ncins-core-api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ufr-eos-ul-ncins-ui</w:t>
            </w:r>
            <w:r>
              <w:t xml:space="preserve"> </w:t>
            </w:r>
            <w:r>
              <w:t xml:space="preserve">(проект NCINS, не NSSFA)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алгоритмы, OpenAPI, payloads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стенда</w:t>
            </w:r>
            <w:r>
              <w:t xml:space="preserve"> </w:t>
            </w:r>
            <w:r>
              <w:rPr>
                <w:rStyle w:val="VerbatimChar"/>
              </w:rPr>
              <w:t xml:space="preserve">GET /ufr-eos-ul-ncins-gateway-router-api/ufr-eos-ul-ncins-core-api/v3/api-docs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контракты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БП NCINS в 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пользовательские 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SLA, ЧПН по методам, прогноз +6 мес, сценарии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на ЛТ живое / мок, Grafana,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Согласующие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 в блоке согласования</w:t>
            </w:r>
          </w:p>
        </w:tc>
      </w:tr>
    </w:tbl>
    <w:p>
      <w:pPr>
        <w:pStyle w:val="BodyText"/>
      </w:pPr>
      <w:r>
        <w:t xml:space="preserve">Раздел 1 анкеты достаточен для решения о необходимости НТ. Разделы «полная информация» и таблица методов заполняются после заключения инженера НТ.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2026-09-18T07:36:20Z</dcterms:created>
  <dcterms:modified xsi:type="dcterms:W3CDTF">2026-09-18T07:36:20Z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