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готовность-тестовой-среды"/>
    <w:p>
      <w:pPr>
        <w:pStyle w:val="Heading1"/>
      </w:pPr>
      <w:r>
        <w:t xml:space="preserve">Готовность тестовой среды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Готовность тестовой среды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Модуль:</w:t>
      </w:r>
      <w:r>
        <w:t xml:space="preserve"> </w:t>
      </w:r>
      <w:r>
        <w:t xml:space="preserve">NCINS в SFA (</w:t>
      </w:r>
      <w:r>
        <w:rPr>
          <w:rStyle w:val="VerbatimChar"/>
        </w:rPr>
        <w:t xml:space="preserve">ufr-eos-ul-ncins</w:t>
      </w:r>
      <w:r>
        <w:t xml:space="preserve">)</w:t>
      </w:r>
      <w:r>
        <w:br/>
      </w:r>
      <w:r>
        <w:t xml:space="preserve">Версия: 0.2</w:t>
      </w:r>
      <w:r>
        <w:br/>
      </w:r>
      <w:r>
        <w:t xml:space="preserve">Дата: 16.09.2026</w:t>
      </w:r>
    </w:p>
    <w:p>
      <w:pPr>
        <w:pStyle w:val="BodyText"/>
      </w:pPr>
      <w:r>
        <w:t xml:space="preserve">Шаблон: п. 5.6–5.8, 14.1.</w:t>
      </w:r>
    </w:p>
    <w:p>
      <w:r>
        <w:pict>
          <v:rect style="width:0;height:1.5pt" o:hralign="center" o:hrstd="t" o:hr="t"/>
        </w:pict>
      </w:r>
    </w:p>
    <w:bookmarkStart w:id="20" w:name="контур"/>
    <w:p>
      <w:pPr>
        <w:pStyle w:val="Heading2"/>
      </w:pPr>
      <w:r>
        <w:t xml:space="preserve">Контур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 (values)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 (README)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ufr-ncins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расхождение, верить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ufrulkltmaster1.moscow.alfaintra.net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eco.binary.alfabank.ru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lt.ufrulklt-api.moscow.alfaintra.net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lt.ufrulklt-ui.moscow.alfaintra.net</w:t>
            </w:r>
          </w:p>
        </w:tc>
      </w:tr>
    </w:tbl>
    <w:p>
      <w:pPr>
        <w:pStyle w:val="BodyText"/>
      </w:pPr>
      <w:r>
        <w:t xml:space="preserve">Стенд НТ ≈ прод?</w:t>
      </w:r>
      <w:r>
        <w:t xml:space="preserve"> </w:t>
      </w:r>
      <w:r>
        <w:rPr>
          <w:bCs/>
          <w:b/>
        </w:rPr>
        <w:t xml:space="preserve">Нет, не утверждать.</w:t>
      </w:r>
      <w:r>
        <w:t xml:space="preserve"> </w:t>
      </w:r>
      <w:r>
        <w:t xml:space="preserve">Config смешанный: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смотрит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 (</w:t>
            </w:r>
            <w:r>
              <w:rPr>
                <w:rStyle w:val="VerbatimChar"/>
              </w:rPr>
              <w:t xml:space="preserve">ufrulltredis1..6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фиксированные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UMP / NIB / Keycloak 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umptest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corp-gateway-test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idp-api-test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UFR accounts/customers/roles/session/sign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  <w:r>
              <w:t xml:space="preserve"> </w:t>
            </w:r>
            <w:r>
              <w:rPr>
                <w:rStyle w:val="VerbatimChar"/>
              </w:rPr>
              <w:t xml:space="preserve">*.ufr-eos-ul-*-int.svc.cluster.local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INT-namespace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session/roles/keycloak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ufrulltmock1:8110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ufrulltmock2:8188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module-info</w:t>
            </w:r>
            <w:r>
              <w:t xml:space="preserve"> </w:t>
            </w:r>
            <w:r>
              <w:rPr>
                <w:rStyle w:val="VerbatimChar"/>
              </w:rPr>
              <w:t xml:space="preserve">module.host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int.ufrulkint-ui...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INT UI</w:t>
            </w:r>
            <w:r>
              <w:t xml:space="preserve">, не</w:t>
            </w:r>
            <w:r>
              <w:t xml:space="preserve"> </w:t>
            </w:r>
            <w:r>
              <w:rPr>
                <w:rStyle w:val="VerbatimChar"/>
              </w:rPr>
              <w:t xml:space="preserve">lt.ufrulklt-ui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Архитектура 1:1 с промом и совпадение версий ПО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состав-на-стенде"/>
    <w:p>
      <w:pPr>
        <w:pStyle w:val="Heading2"/>
      </w:pPr>
      <w:r>
        <w:t xml:space="preserve">Состав на стенде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ufr-eos-ul-ncins-core-api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ufr-eos-ul-ncins-core-api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/admin/health</w:t>
            </w:r>
            <w:r>
              <w:t xml:space="preserve"> </w:t>
            </w:r>
            <w:r>
              <w:t xml:space="preserve">(+ liveness/readiness)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/admin/prometheus:8081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ufr-eos-ul-ncins-gateway-router-api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ufr-eos-gateway-router-api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/actuator/prometheus:8081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ufr-eos-ul-ncins-module-info-api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ufr-eos-module-info-api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/actuator/prometheus:8081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ufr-eos-ul-ncins-access-checker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ufr-access-checker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/admin/prometheus:8081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ufr-eos-ul-ncins-ui:1.0.1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README есть,</w:t>
            </w:r>
            <w:r>
              <w:t xml:space="preserve"> </w:t>
            </w:r>
            <w:r>
              <w:rPr>
                <w:bCs/>
                <w:b/>
              </w:rPr>
              <w:t xml:space="preserve">файла values в репо нет</w:t>
            </w:r>
          </w:p>
        </w:tc>
      </w:tr>
    </w:tbl>
    <w:p>
      <w:pPr>
        <w:pStyle w:val="BodyText"/>
      </w:pPr>
      <w:r>
        <w:t xml:space="preserve">UI: порт контейнера в values</w:t>
      </w:r>
      <w:r>
        <w:t xml:space="preserve"> </w:t>
      </w:r>
      <w:r>
        <w:rPr>
          <w:bCs/>
          <w:b/>
        </w:rPr>
        <w:t xml:space="preserve">не объявлен</w:t>
      </w:r>
      <w:r>
        <w:t xml:space="preserve"> </w:t>
      </w:r>
      <w:r>
        <w:t xml:space="preserve">(задаётся в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) — уточнить у разработки.</w:t>
      </w:r>
      <w:r>
        <w:br/>
      </w:r>
      <w:r>
        <w:t xml:space="preserve">Access-checker в README install</w:t>
      </w:r>
      <w:r>
        <w:t xml:space="preserve"> </w:t>
      </w:r>
      <w:r>
        <w:rPr>
          <w:bCs/>
          <w:b/>
        </w:rPr>
        <w:t xml:space="preserve">не указан</w:t>
      </w:r>
      <w:r>
        <w:t xml:space="preserve">, values есть.</w:t>
      </w:r>
      <w:r>
        <w:br/>
      </w:r>
      <w:r>
        <w:t xml:space="preserve">README ставит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virtualservice</w:t>
      </w:r>
      <w:r>
        <w:t xml:space="preserve"> </w:t>
      </w:r>
      <w:r>
        <w:t xml:space="preserve">/ secrets — этих values в репо нет.</w:t>
      </w:r>
    </w:p>
    <w:p>
      <w:pPr>
        <w:pStyle w:val="BodyText"/>
      </w:pPr>
      <w:r>
        <w:t xml:space="preserve">Вне контура модуля: Redis ×6, Kafka, два Keycloak, UFR common-services / document-processing / client-session.</w:t>
      </w:r>
    </w:p>
    <w:p>
      <w:r>
        <w:pict>
          <v:rect style="width:0;height:1.5pt" o:hralign="center" o:hrstd="t" o:hr="t"/>
        </w:pict>
      </w:r>
    </w:p>
    <w:bookmarkEnd w:id="21"/>
    <w:bookmarkStart w:id="22" w:name="ресурсы-и-jvm"/>
    <w:p>
      <w:pPr>
        <w:pStyle w:val="Heading2"/>
      </w:pPr>
      <w:r>
        <w:t xml:space="preserve">Ресурсы и JVM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req/lim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 req/lim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90m / 240m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1024Mi / 1228Mi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-Xms512M -Xmx512M -XX:MaxMetaspaceSize=160M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 / 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1024Mi / 1536Mi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-Xms512M -Xmx512M -Xss1024K -XX:MaxMetaspaceSize=128M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gateway-router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/ 240m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614Mi / 740Mi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-Xms430M -Xmx430M -XX:MaxMetaspaceSize=128M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/ 240m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614Mi / 740Mi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-Xms430M -Xmx430M -XX:MaxMetaspaceSize=128M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 / 1000m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256Mi / 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</w:tr>
    </w:tbl>
    <w:p>
      <w:pPr>
        <w:pStyle w:val="BodyText"/>
      </w:pPr>
      <w:r>
        <w:t xml:space="preserve">Критерии ЕОС.ЮЛ (раздел 12 шаблона):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-Xms</w:t>
            </w:r>
            <w:r>
              <w:t xml:space="preserve">=</w:t>
            </w:r>
            <w:r>
              <w:rPr>
                <w:rStyle w:val="VerbatimChar"/>
              </w:rPr>
              <w:t xml:space="preserve">-Xmx</w:t>
            </w:r>
            <w:r>
              <w:t xml:space="preserve">=50%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512/1024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нет, 430/614 ≈ 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нет,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-Xss</w:t>
            </w:r>
            <w:r>
              <w:t xml:space="preserve"> </w:t>
            </w:r>
            <w:r>
              <w:t xml:space="preserve">и MaxMetaspace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Metaspace да,</w:t>
            </w:r>
            <w:r>
              <w:t xml:space="preserve"> </w:t>
            </w:r>
            <w:r>
              <w:rPr>
                <w:rStyle w:val="VerbatimChar"/>
              </w:rPr>
              <w:t xml:space="preserve">-Xss</w:t>
            </w:r>
            <w:r>
              <w:t xml:space="preserve"> </w:t>
            </w: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Metaspace да,</w:t>
            </w:r>
            <w:r>
              <w:t xml:space="preserve"> </w:t>
            </w:r>
            <w:r>
              <w:rPr>
                <w:rStyle w:val="VerbatimChar"/>
              </w:rPr>
              <w:t xml:space="preserve">-Xss</w:t>
            </w:r>
            <w:r>
              <w:t xml:space="preserve"> </w:t>
            </w: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 mem = Request+20%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(1228)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нет, +50% (1536)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нет, 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PrintFlagsFinal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Дамп при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ExitOnOutOfMemoryError</w:t>
            </w:r>
            <w:r>
              <w:rPr>
                <w:bCs/>
                <w:b/>
              </w:rPr>
              <w:t xml:space="preserve">, дампа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явного HeapDump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Пустой</w:t>
      </w:r>
      <w:r>
        <w:t xml:space="preserve"> </w:t>
      </w:r>
      <w:r>
        <w:rPr>
          <w:rStyle w:val="VerbatimChar"/>
        </w:rPr>
        <w:t xml:space="preserve">-Djavax.net.ssl.trustStorePassword=</w:t>
      </w:r>
      <w:r>
        <w:t xml:space="preserve"> </w:t>
      </w:r>
      <w:r>
        <w:t xml:space="preserve">— часто штатно для JKS, не считать дефектом без подтверждения.</w:t>
      </w:r>
    </w:p>
    <w:p>
      <w:pPr>
        <w:pStyle w:val="BodyText"/>
      </w:pPr>
      <w:r>
        <w:t xml:space="preserve">До боя согласовать с НТ: heap gateway/module-info, limit access-checker/UI, OOM-поведение access-checker, CPU limit UI ×10 от request.</w:t>
      </w:r>
    </w:p>
    <w:p>
      <w:r>
        <w:pict>
          <v:rect style="width:0;height:1.5pt" o:hralign="center" o:hrstd="t" o:hr="t"/>
        </w:pict>
      </w:r>
    </w:p>
    <w:bookmarkEnd w:id="22"/>
    <w:bookmarkStart w:id="23" w:name="точки-наблюдения"/>
    <w:p>
      <w:pPr>
        <w:pStyle w:val="Heading2"/>
      </w:pPr>
      <w:r>
        <w:t xml:space="preserve">Точки наблюдения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HTTP,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сервисов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есть; у core-api включён</w:t>
            </w:r>
            <w:r>
              <w:t xml:space="preserve"> </w:t>
            </w:r>
            <w:r>
              <w:rPr>
                <w:rStyle w:val="VerbatimChar"/>
              </w:rPr>
              <w:t xml:space="preserve">percentiles-histogram</w:t>
            </w:r>
            <w:r>
              <w:t xml:space="preserve"> </w:t>
            </w:r>
            <w:r>
              <w:rPr>
                <w:rStyle w:val="VerbatimChar"/>
              </w:rPr>
              <w:t xml:space="preserve">http.server.requests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есть, в профиль нагрузки не включать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Очереди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брокер / Grafana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JVM heap/GC/threads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</w:t>
            </w:r>
            <w:r>
              <w:t xml:space="preserve"> </w:t>
            </w:r>
            <w:r>
              <w:rPr>
                <w:rStyle w:val="VerbatimChar"/>
              </w:rPr>
              <w:t xml:space="preserve">_TBD_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Бизнес-операции (заявка/подпись/договор)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конфиге нет готовых бизнес-метрик</w:t>
            </w:r>
          </w:p>
        </w:tc>
      </w:tr>
    </w:tbl>
    <w:p>
      <w:pPr>
        <w:pStyle w:val="BodyText"/>
      </w:pPr>
      <w:r>
        <w:t xml:space="preserve">Предполагаемые узкие места (гипотезы для плана НТ, не «найденные дефекты»):</w:t>
      </w:r>
    </w:p>
    <w:p>
      <w:pPr>
        <w:numPr>
          <w:ilvl w:val="0"/>
          <w:numId w:val="1001"/>
        </w:numPr>
        <w:pStyle w:val="Compact"/>
      </w:pPr>
      <w:r>
        <w:t xml:space="preserve">OBIP (синхронный PDF).</w:t>
      </w:r>
    </w:p>
    <w:p>
      <w:pPr>
        <w:numPr>
          <w:ilvl w:val="0"/>
          <w:numId w:val="1001"/>
        </w:numPr>
        <w:pStyle w:val="Compact"/>
      </w:pPr>
      <w:r>
        <w:t xml:space="preserve">Redis при</w:t>
      </w:r>
      <w:r>
        <w:t xml:space="preserve"> </w:t>
      </w:r>
      <w:r>
        <w:rPr>
          <w:rStyle w:val="VerbatimChar"/>
        </w:rPr>
        <w:t xml:space="preserve">failover-cache: false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Kafka producer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+ idempotence.</w:t>
      </w:r>
    </w:p>
    <w:p>
      <w:pPr>
        <w:numPr>
          <w:ilvl w:val="0"/>
          <w:numId w:val="1001"/>
        </w:numPr>
        <w:pStyle w:val="Compact"/>
      </w:pPr>
      <w:r>
        <w:t xml:space="preserve">Полное HTTP-логирование payload в core-api → диск/ELK.</w:t>
      </w:r>
    </w:p>
    <w:p>
      <w:pPr>
        <w:numPr>
          <w:ilvl w:val="0"/>
          <w:numId w:val="1001"/>
        </w:numPr>
        <w:pStyle w:val="Compact"/>
      </w:pPr>
      <w:r>
        <w:t xml:space="preserve">Feign retry ×3 при деградации NIB/UMP.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client-session</w:t>
      </w:r>
      <w:r>
        <w:t xml:space="preserve"> </w:t>
      </w:r>
      <w:r>
        <w:t xml:space="preserve">— SPOF для</w:t>
      </w:r>
      <w:r>
        <w:t xml:space="preserve"> </w:t>
      </w:r>
      <w:r>
        <w:rPr>
          <w:rStyle w:val="VerbatimChar"/>
        </w:rPr>
        <w:t xml:space="preserve">/core-api/**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UI CPU limit 1000m при request 100m.</w:t>
      </w:r>
    </w:p>
    <w:p>
      <w:r>
        <w:pict>
          <v:rect style="width:0;height:1.5pt" o:hralign="center" o:hrstd="t" o:hr="t"/>
        </w:pict>
      </w:r>
    </w:p>
    <w:bookmarkEnd w:id="23"/>
    <w:bookmarkStart w:id="24" w:name="тестовая-модель"/>
    <w:p>
      <w:pPr>
        <w:pStyle w:val="Heading2"/>
      </w:pPr>
      <w:r>
        <w:t xml:space="preserve">Тестовая модель</w:t>
      </w:r>
    </w:p>
    <w:p>
      <w:pPr>
        <w:pStyle w:val="FirstParagraph"/>
      </w:pPr>
      <w:r>
        <w:t xml:space="preserve">Объём клиентов/счетов/полисов, генерация дата-пулов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 </w:t>
      </w:r>
      <w:r>
        <w:t xml:space="preserve">(аналитик).</w:t>
      </w:r>
    </w:p>
    <w:p>
      <w:pPr>
        <w:pStyle w:val="BodyText"/>
      </w:pPr>
      <w:r>
        <w:t xml:space="preserve">Известные ограничения данных из config: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путать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NCINS_UL_ACCESS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сессии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Счета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+ бухрежим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xpin-const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PIN клиента в дата-пуле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 NIB-клиента SFA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sfa</w:t>
            </w:r>
            <w:r>
              <w:t xml:space="preserve"> </w:t>
            </w:r>
            <w:r>
              <w:t xml:space="preserve">/ project</w:t>
            </w:r>
            <w:r>
              <w:t xml:space="preserve"> </w:t>
            </w:r>
            <w:r>
              <w:rPr>
                <w:rStyle w:val="VerbatimChar"/>
              </w:rPr>
              <w:t xml:space="preserve">ncins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Номер договора (UMP)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  <w:r>
              <w:t xml:space="preserve"> </w:t>
            </w:r>
            <w:r>
              <w:rPr>
                <w:rStyle w:val="VerbatimChar"/>
              </w:rPr>
              <w:t xml:space="preserve">Z6922/888/ABR*****/6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SFA генерирует номер так же — подтвердить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развёртывание"/>
    <w:p>
      <w:pPr>
        <w:pStyle w:val="Heading2"/>
      </w:pPr>
      <w:r>
        <w:t xml:space="preserve">Развёртывание</w:t>
      </w:r>
    </w:p>
    <w:p>
      <w:pPr>
        <w:pStyle w:val="FirstParagraph"/>
      </w:pPr>
      <w:r>
        <w:t xml:space="preserve">Подмодуль чарта в этом git не выкачан. README:</w:t>
      </w:r>
    </w:p>
    <w:p>
      <w:pPr>
        <w:pStyle w:val="SourceCode"/>
      </w:pPr>
      <w:r>
        <w:rPr>
          <w:rStyle w:val="VerbatimChar"/>
        </w:rPr>
        <w:t xml:space="preserve">git submodule update --init --recursive</w:t>
      </w:r>
      <w:r>
        <w:br/>
      </w:r>
      <w:r>
        <w:rPr>
          <w:rStyle w:val="VerbatimChar"/>
        </w:rPr>
        <w:t xml:space="preserve">git submodule update --rebase --remote</w:t>
      </w:r>
    </w:p>
    <w:p>
      <w:pPr>
        <w:pStyle w:val="FirstParagraph"/>
      </w:pPr>
      <w:r>
        <w:t xml:space="preserve">Команды README рассчитаны на namespace</w:t>
      </w:r>
      <w:r>
        <w:t xml:space="preserve"> </w:t>
      </w:r>
      <w:r>
        <w:rPr>
          <w:rStyle w:val="VerbatimChar"/>
        </w:rPr>
        <w:t xml:space="preserve">ufr-ncins</w:t>
      </w:r>
      <w:r>
        <w:t xml:space="preserve"> </w:t>
      </w:r>
      <w:r>
        <w:t xml:space="preserve">и файлы, которых нет</w:t>
      </w:r>
      <w:r>
        <w:t xml:space="preserve"> </w:t>
      </w:r>
      <w:r>
        <w:t xml:space="preserve">(</w:t>
      </w:r>
      <w:r>
        <w:rPr>
          <w:rStyle w:val="VerbatimChar"/>
        </w:rPr>
        <w:t xml:space="preserve">ufr-eos-ul-ncins-settings.yml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spring-application-gateway.yml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values-gateway.yml</w:t>
      </w:r>
      <w:r>
        <w:t xml:space="preserve">).</w:t>
      </w:r>
      <w:r>
        <w:t xml:space="preserve"> </w:t>
      </w:r>
      <w:r>
        <w:t xml:space="preserve">Перед боем актуализировать install под фактические values.</w:t>
      </w:r>
    </w:p>
    <w:p>
      <w:pPr>
        <w:pStyle w:val="BodyText"/>
      </w:pPr>
      <w:r>
        <w:t xml:space="preserve">Ориентир по имеющимся файлам (namespace как в values):</w:t>
      </w:r>
    </w:p>
    <w:p>
      <w:pPr>
        <w:pStyle w:val="SourceCode"/>
      </w:pPr>
      <w:r>
        <w:rPr>
          <w:rStyle w:val="VerbatimChar"/>
        </w:rPr>
        <w:t xml:space="preserve">helm upgrade --install -n ufr-eos-ul-ncins ufr-eos-ul-ncins-core-api       ufr-chart/ -f ufr-eos-ul-ncins-core-api.yml</w:t>
      </w:r>
      <w:r>
        <w:br/>
      </w:r>
      <w:r>
        <w:rPr>
          <w:rStyle w:val="VerbatimChar"/>
        </w:rPr>
        <w:t xml:space="preserve">helm upgrade --install -n ufr-eos-ul-ncins ufr-eos-ul-ncins-access-checker ufr-chart/ -f ufr-access-checker.yml</w:t>
      </w:r>
      <w:r>
        <w:br/>
      </w:r>
      <w:r>
        <w:rPr>
          <w:rStyle w:val="VerbatimChar"/>
        </w:rPr>
        <w:t xml:space="preserve">helm upgrade --install -n ufr-eos-ul-ncins ufr-eos-ul-ncins-gateway        ufr-chart/ -f ufr-eos-gateway-router-api.yml</w:t>
      </w:r>
      <w:r>
        <w:br/>
      </w:r>
      <w:r>
        <w:rPr>
          <w:rStyle w:val="VerbatimChar"/>
        </w:rPr>
        <w:t xml:space="preserve">helm upgrade --install -n ufr-eos-ul-ncins ufr-eos-ul-ncins-module-info-api ufr-chart/ -f ufr-eos-module-info-api.yml</w:t>
      </w:r>
      <w:r>
        <w:br/>
      </w:r>
      <w:r>
        <w:rPr>
          <w:rStyle w:val="VerbatimChar"/>
        </w:rPr>
        <w:t xml:space="preserve">helm upgrade --install -n ufr-eos-ul-ncins ufr-eos-ul-ncins-ui             ufr-chart/ -f ufr-eos-ul-ncins-ui.yml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2026-09-18T07:36:21Z</dcterms:created>
  <dcterms:modified xsi:type="dcterms:W3CDTF">2026-09-18T07:36:21Z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