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критерии-нт-и-заведение-задачи"/>
    <w:p>
      <w:pPr>
        <w:pStyle w:val="Heading1"/>
      </w:pPr>
      <w:r>
        <w:t xml:space="preserve">Критерии НТ и заведение задачи</w:t>
      </w:r>
    </w:p>
    <w:p>
      <w:pPr>
        <w:pStyle w:val="FirstParagraph"/>
      </w:pPr>
      <w:r>
        <w:rPr>
          <w:bCs/>
          <w:b/>
        </w:rPr>
        <w:t xml:space="preserve">Название статьи в Confluence:</w:t>
      </w:r>
      <w:r>
        <w:t xml:space="preserve"> </w:t>
      </w:r>
      <w:r>
        <w:t xml:space="preserve">Критерии НТ и заведение задачи</w:t>
      </w:r>
      <w:r>
        <w:br/>
      </w:r>
      <w:r>
        <w:rPr>
          <w:bCs/>
          <w:b/>
        </w:rPr>
        <w:t xml:space="preserve">Родительская страница:</w:t>
      </w:r>
      <w:r>
        <w:t xml:space="preserve"> </w:t>
      </w:r>
      <w:r>
        <w:t xml:space="preserve">НТ пререквизиты NCINS в SFA</w:t>
      </w:r>
      <w:r>
        <w:br/>
      </w:r>
      <w:r>
        <w:rPr>
          <w:bCs/>
          <w:b/>
        </w:rPr>
        <w:t xml:space="preserve">Метки (labels):</w:t>
      </w:r>
      <w:r>
        <w:t xml:space="preserve"> </w:t>
      </w:r>
      <w:r>
        <w:t xml:space="preserve">НТ, ЕОС.ЮЛ, NCINS, SFA</w:t>
      </w:r>
      <w:r>
        <w:br/>
      </w:r>
      <w:r>
        <w:rPr>
          <w:bCs/>
          <w:b/>
        </w:rPr>
        <w:t xml:space="preserve">Версия:</w:t>
      </w:r>
      <w:r>
        <w:t xml:space="preserve"> </w:t>
      </w:r>
      <w:r>
        <w:t xml:space="preserve">0.2 от 16.09.2026</w:t>
      </w:r>
    </w:p>
    <w:p>
      <w:pPr>
        <w:pStyle w:val="BlockText"/>
      </w:pPr>
      <w:r>
        <w:t xml:space="preserve">В редакторе Confluence сразу после вставки добавьте макрос</w:t>
      </w:r>
      <w:r>
        <w:t xml:space="preserve"> </w:t>
      </w:r>
      <w:r>
        <w:rPr>
          <w:bCs/>
          <w:b/>
        </w:rPr>
        <w:t xml:space="preserve">Table of Contents</w:t>
      </w:r>
      <w:r>
        <w:t xml:space="preserve"> </w:t>
      </w:r>
      <w:r>
        <w:t xml:space="preserve">(оглавление).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Модуль:</w:t>
      </w:r>
      <w:r>
        <w:t xml:space="preserve"> </w:t>
      </w:r>
      <w:r>
        <w:t xml:space="preserve">NCINS в SFA (</w:t>
      </w:r>
      <w:r>
        <w:rPr>
          <w:rStyle w:val="VerbatimChar"/>
        </w:rPr>
        <w:t xml:space="preserve">ufr-eos-ul-ncins</w:t>
      </w:r>
      <w:r>
        <w:t xml:space="preserve">)</w:t>
      </w:r>
      <w:r>
        <w:br/>
      </w:r>
      <w:r>
        <w:t xml:space="preserve">Версия: 0.2</w:t>
      </w:r>
      <w:r>
        <w:br/>
      </w:r>
      <w:r>
        <w:t xml:space="preserve">Дата: 16.09.2026</w:t>
      </w:r>
    </w:p>
    <w:p>
      <w:pPr>
        <w:pStyle w:val="BodyText"/>
      </w:pPr>
      <w:r>
        <w:t xml:space="preserve">Источник: шаблон «Передача модуля на нагрузочное тестирование» v12,</w:t>
      </w:r>
      <w:r>
        <w:t xml:space="preserve"> </w:t>
      </w:r>
      <w:r>
        <w:t xml:space="preserve">разделы 1, 2, 3, 11, 12, 13, 14.1, 15.3.1.</w:t>
      </w:r>
    </w:p>
    <w:p>
      <w:r>
        <w:pict>
          <v:rect style="width:0;height:1.5pt" o:hralign="center" o:hrstd="t" o:hr="t"/>
        </w:pict>
      </w:r>
    </w:p>
    <w:bookmarkStart w:id="22" w:name="критерии-необходимости-проведения-нт"/>
    <w:p>
      <w:pPr>
        <w:pStyle w:val="Heading2"/>
      </w:pPr>
      <w:r>
        <w:t xml:space="preserve">1. Критерии необходимости проведения НТ</w:t>
      </w:r>
    </w:p>
    <w:bookmarkStart w:id="20" w:name="нт-не-требуется-если-изменились-только"/>
    <w:p>
      <w:pPr>
        <w:pStyle w:val="Heading3"/>
      </w:pPr>
      <w:r>
        <w:t xml:space="preserve">НТ не требуется, если изменились только:</w:t>
      </w:r>
    </w:p>
    <w:p>
      <w:pPr>
        <w:numPr>
          <w:ilvl w:val="0"/>
          <w:numId w:val="1001"/>
        </w:numPr>
        <w:pStyle w:val="Compact"/>
      </w:pPr>
      <w:r>
        <w:t xml:space="preserve">Документация.</w:t>
      </w:r>
    </w:p>
    <w:p>
      <w:pPr>
        <w:numPr>
          <w:ilvl w:val="0"/>
          <w:numId w:val="1001"/>
        </w:numPr>
        <w:pStyle w:val="Compact"/>
      </w:pPr>
      <w:r>
        <w:t xml:space="preserve">Тестирование.</w:t>
      </w:r>
    </w:p>
    <w:p>
      <w:pPr>
        <w:numPr>
          <w:ilvl w:val="0"/>
          <w:numId w:val="1001"/>
        </w:numPr>
        <w:pStyle w:val="Compact"/>
      </w:pPr>
      <w:r>
        <w:t xml:space="preserve">Понижение уровня логирования (trace → debug → error → fatal).</w:t>
      </w:r>
    </w:p>
    <w:p>
      <w:pPr>
        <w:numPr>
          <w:ilvl w:val="0"/>
          <w:numId w:val="1001"/>
        </w:numPr>
        <w:pStyle w:val="Compact"/>
      </w:pPr>
      <w:r>
        <w:t xml:space="preserve">Интерфейс без изменения логики метода.</w:t>
      </w:r>
    </w:p>
    <w:p>
      <w:pPr>
        <w:numPr>
          <w:ilvl w:val="0"/>
          <w:numId w:val="1001"/>
        </w:numPr>
        <w:pStyle w:val="Compact"/>
      </w:pPr>
      <w:r>
        <w:t xml:space="preserve">Ролевая модель — если это не меняет нагрузку на модули.</w:t>
      </w:r>
    </w:p>
    <w:p>
      <w:pPr>
        <w:numPr>
          <w:ilvl w:val="0"/>
          <w:numId w:val="1001"/>
        </w:numPr>
        <w:pStyle w:val="Compact"/>
      </w:pPr>
      <w:r>
        <w:t xml:space="preserve">Удаление метода микросервиса (скрипты НТ всё равно нужно актуализировать).</w:t>
      </w:r>
    </w:p>
    <w:p>
      <w:pPr>
        <w:numPr>
          <w:ilvl w:val="0"/>
          <w:numId w:val="1001"/>
        </w:numPr>
        <w:pStyle w:val="Compact"/>
      </w:pPr>
      <w:r>
        <w:t xml:space="preserve">Уменьшение нагрузки на существующий функционал (новые цифры всё равно отдать НТ).</w:t>
      </w:r>
    </w:p>
    <w:p>
      <w:pPr>
        <w:numPr>
          <w:ilvl w:val="0"/>
          <w:numId w:val="1001"/>
        </w:numPr>
        <w:pStyle w:val="Compact"/>
      </w:pPr>
      <w:r>
        <w:t xml:space="preserve">Интенсивность метода</w:t>
      </w:r>
      <w:r>
        <w:t xml:space="preserve"> </w:t>
      </w:r>
      <w:r>
        <w:rPr>
          <w:bCs/>
          <w:b/>
        </w:rPr>
        <w:t xml:space="preserve">1 и менее раз в час в пике</w:t>
      </w:r>
      <w:r>
        <w:t xml:space="preserve"> </w:t>
      </w:r>
      <w:r>
        <w:t xml:space="preserve">(в т.ч. через 3 года), без пакетных выгрузок</w:t>
      </w:r>
      <w:r>
        <w:t xml:space="preserve"> </w:t>
      </w:r>
      <w:r>
        <w:t xml:space="preserve">и массовых обработок.</w:t>
      </w:r>
    </w:p>
    <w:bookmarkEnd w:id="20"/>
    <w:bookmarkStart w:id="21" w:name="нт-требуется"/>
    <w:p>
      <w:pPr>
        <w:pStyle w:val="Heading3"/>
      </w:pPr>
      <w:r>
        <w:t xml:space="preserve">НТ требуется</w:t>
      </w:r>
    </w:p>
    <w:p>
      <w:pPr>
        <w:pStyle w:val="FirstParagraph"/>
      </w:pPr>
      <w:r>
        <w:rPr>
          <w:bCs/>
          <w:b/>
        </w:rPr>
        <w:t xml:space="preserve">Новый функционал:</w:t>
      </w:r>
    </w:p>
    <w:p>
      <w:pPr>
        <w:numPr>
          <w:ilvl w:val="0"/>
          <w:numId w:val="1002"/>
        </w:numPr>
        <w:pStyle w:val="Compact"/>
      </w:pPr>
      <w:r>
        <w:t xml:space="preserve">Интенсивность метода</w:t>
      </w:r>
      <w:r>
        <w:t xml:space="preserve"> </w:t>
      </w:r>
      <w:r>
        <w:rPr>
          <w:bCs/>
          <w:b/>
        </w:rPr>
        <w:t xml:space="preserve">более 1 раза в час в пике</w:t>
      </w:r>
      <w:r>
        <w:t xml:space="preserve"> </w:t>
      </w:r>
      <w:r>
        <w:t xml:space="preserve">(в т.ч. через 3 года).</w:t>
      </w:r>
    </w:p>
    <w:p>
      <w:pPr>
        <w:numPr>
          <w:ilvl w:val="0"/>
          <w:numId w:val="1002"/>
        </w:numPr>
        <w:pStyle w:val="Compact"/>
      </w:pPr>
      <w:r>
        <w:t xml:space="preserve">Пакетные выгрузки и массовые обработки — независимо от интенсивности.</w:t>
      </w:r>
    </w:p>
    <w:p>
      <w:pPr>
        <w:pStyle w:val="FirstParagraph"/>
      </w:pPr>
      <w:r>
        <w:rPr>
          <w:bCs/>
          <w:b/>
        </w:rPr>
        <w:t xml:space="preserve">Существующий функционал (доработки):</w:t>
      </w:r>
    </w:p>
    <w:p>
      <w:pPr>
        <w:numPr>
          <w:ilvl w:val="0"/>
          <w:numId w:val="1003"/>
        </w:numPr>
        <w:pStyle w:val="Compact"/>
      </w:pPr>
      <w:r>
        <w:t xml:space="preserve">Новые обращения к внешним системам или БД.</w:t>
      </w:r>
    </w:p>
    <w:p>
      <w:pPr>
        <w:numPr>
          <w:ilvl w:val="0"/>
          <w:numId w:val="1003"/>
        </w:numPr>
        <w:pStyle w:val="Compact"/>
      </w:pPr>
      <w:r>
        <w:t xml:space="preserve">Рост обращений к модулю/БД сверх запаса с последнего ТПМП.</w:t>
      </w:r>
    </w:p>
    <w:p>
      <w:pPr>
        <w:numPr>
          <w:ilvl w:val="0"/>
          <w:numId w:val="1003"/>
        </w:numPr>
        <w:pStyle w:val="Compact"/>
      </w:pPr>
      <w:r>
        <w:t xml:space="preserve">Изменение RAM/CPU контейнеров или дата-кластеров.</w:t>
      </w:r>
    </w:p>
    <w:p>
      <w:pPr>
        <w:numPr>
          <w:ilvl w:val="0"/>
          <w:numId w:val="1003"/>
        </w:numPr>
        <w:pStyle w:val="Compact"/>
      </w:pPr>
      <w:r>
        <w:t xml:space="preserve">Изменение heap, metaspace, thread pool и т.п.</w:t>
      </w:r>
    </w:p>
    <w:p>
      <w:pPr>
        <w:numPr>
          <w:ilvl w:val="0"/>
          <w:numId w:val="1003"/>
        </w:numPr>
        <w:pStyle w:val="Compact"/>
      </w:pPr>
      <w:r>
        <w:t xml:space="preserve">Переключение / подключение / учащение вызовов веб-сервисов шины.</w:t>
      </w:r>
    </w:p>
    <w:p>
      <w:pPr>
        <w:numPr>
          <w:ilvl w:val="0"/>
          <w:numId w:val="1003"/>
        </w:numPr>
        <w:pStyle w:val="Compact"/>
      </w:pPr>
      <w:r>
        <w:t xml:space="preserve">Добавление пользователей.</w:t>
      </w:r>
    </w:p>
    <w:p>
      <w:pPr>
        <w:numPr>
          <w:ilvl w:val="0"/>
          <w:numId w:val="1003"/>
        </w:numPr>
        <w:pStyle w:val="Compact"/>
      </w:pPr>
      <w:r>
        <w:t xml:space="preserve">Обновление версий ПО и внутренних библиотек.</w:t>
      </w:r>
    </w:p>
    <w:p>
      <w:pPr>
        <w:numPr>
          <w:ilvl w:val="0"/>
          <w:numId w:val="1003"/>
        </w:numPr>
        <w:pStyle w:val="Compact"/>
      </w:pPr>
      <w:r>
        <w:t xml:space="preserve">Расширение логирования.</w:t>
      </w:r>
    </w:p>
    <w:p>
      <w:pPr>
        <w:numPr>
          <w:ilvl w:val="0"/>
          <w:numId w:val="1003"/>
        </w:numPr>
        <w:pStyle w:val="Compact"/>
      </w:pPr>
      <w:r>
        <w:t xml:space="preserve">Изменение архитектуры: число инстансов, характеристики серверов.</w:t>
      </w:r>
    </w:p>
    <w:p>
      <w:pPr>
        <w:numPr>
          <w:ilvl w:val="0"/>
          <w:numId w:val="1003"/>
        </w:numPr>
        <w:pStyle w:val="Compact"/>
      </w:pPr>
      <w:r>
        <w:t xml:space="preserve">Маскирование данных.</w:t>
      </w:r>
    </w:p>
    <w:p>
      <w:pPr>
        <w:numPr>
          <w:ilvl w:val="0"/>
          <w:numId w:val="1003"/>
        </w:numPr>
        <w:pStyle w:val="Compact"/>
      </w:pPr>
      <w:r>
        <w:t xml:space="preserve">Сравнительный анализ при смене оборудования.</w:t>
      </w:r>
    </w:p>
    <w:p>
      <w:pPr>
        <w:numPr>
          <w:ilvl w:val="0"/>
          <w:numId w:val="1003"/>
        </w:numPr>
        <w:pStyle w:val="Compact"/>
      </w:pPr>
      <w:r>
        <w:t xml:space="preserve">НТ не проводилось более 3 месяцев (чеклист ЕОС.ЮЛ, раздел 15.3.1 шаблона).</w:t>
      </w:r>
    </w:p>
    <w:p>
      <w:pPr>
        <w:pStyle w:val="FirstParagraph"/>
      </w:pPr>
      <w:r>
        <w:t xml:space="preserve">Окончательное решение принимает</w:t>
      </w:r>
      <w:r>
        <w:t xml:space="preserve"> </w:t>
      </w:r>
      <w:r>
        <w:rPr>
          <w:bCs/>
          <w:b/>
        </w:rPr>
        <w:t xml:space="preserve">команда НТ</w:t>
      </w:r>
      <w:r>
        <w:t xml:space="preserve"> </w:t>
      </w:r>
      <w:r>
        <w:t xml:space="preserve">по задаче в Jira, а не автор анкеты.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оценка-для-ncins-без-подмены-решения-нт"/>
    <w:p>
      <w:pPr>
        <w:pStyle w:val="Heading2"/>
      </w:pPr>
      <w:r>
        <w:t xml:space="preserve">2. Оценка для NCINS (без подмены решения НТ)</w:t>
      </w:r>
    </w:p>
    <w:p>
      <w:pPr>
        <w:pStyle w:val="FirstParagraph"/>
      </w:pPr>
      <w:r>
        <w:t xml:space="preserve">Известные факты: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Отношение к критериям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</w:t>
            </w:r>
            <w:r>
              <w:t xml:space="preserve"> </w:t>
            </w:r>
            <w:r>
              <w:rPr>
                <w:bCs/>
                <w:b/>
              </w:rPr>
              <w:t xml:space="preserve">≈89/час, пик ≈180 заявок/час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бизнес-потока заявок критерий «&gt; 1/час» выполняется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core-api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log-payload: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pretty-print: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Попадает под «расширение логирования»,</w:t>
            </w:r>
            <w:r>
              <w:t xml:space="preserve"> </w:t>
            </w:r>
            <w:r>
              <w:rPr>
                <w:bCs/>
                <w:b/>
              </w:rPr>
              <w:t xml:space="preserve">если это изменение относительно прошлого НТ/прома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реплики, JVM/лимиты как в helm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</w:t>
            </w:r>
            <w:r>
              <w:t xml:space="preserve"> </w:t>
            </w:r>
            <w:r>
              <w:rPr>
                <w:bCs/>
                <w:b/>
              </w:rPr>
              <w:t xml:space="preserve">готовность стенда</w:t>
            </w:r>
            <w:r>
              <w:t xml:space="preserve"> </w:t>
            </w:r>
            <w:r>
              <w:t xml:space="preserve">(раздел 12 шаблона), а не самостоятельное доказательство, что НТ модуля нужно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Отклонения JVM vs «50% Request / limit +20%»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Чинить/согласовывать до боя; не путать с критерием «нужно ли НТ»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Проводилось ли НТ NCINS ранее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_TBD_</w:t>
            </w:r>
          </w:p>
        </w:tc>
      </w:tr>
    </w:tbl>
    <w:p>
      <w:pPr>
        <w:pStyle w:val="BodyText"/>
      </w:pPr>
      <w:r>
        <w:t xml:space="preserve">Предварительно: для</w:t>
      </w:r>
      <w:r>
        <w:t xml:space="preserve"> </w:t>
      </w:r>
      <w:r>
        <w:rPr>
          <w:bCs/>
          <w:b/>
        </w:rPr>
        <w:t xml:space="preserve">нового</w:t>
      </w:r>
      <w:r>
        <w:t xml:space="preserve"> </w:t>
      </w:r>
      <w:r>
        <w:t xml:space="preserve">модуля NCINS в SFA с ЧПН ≫ 1/час постановка на НТ</w:t>
      </w:r>
      <w:r>
        <w:t xml:space="preserve"> </w:t>
      </w:r>
      <w:r>
        <w:rPr>
          <w:bCs/>
          <w:b/>
        </w:rPr>
        <w:t xml:space="preserve">оправдана</w:t>
      </w:r>
      <w:r>
        <w:t xml:space="preserve">.</w:t>
      </w:r>
      <w:r>
        <w:t xml:space="preserve"> </w:t>
      </w:r>
      <w:r>
        <w:t xml:space="preserve">Формулировка «НТ требуется, потому что Xmx gateway 70%» — некорректна.</w:t>
      </w:r>
    </w:p>
    <w:p>
      <w:r>
        <w:pict>
          <v:rect style="width:0;height:1.5pt" o:hralign="center" o:hrstd="t" o:hr="t"/>
        </w:pict>
      </w:r>
    </w:p>
    <w:bookmarkEnd w:id="23"/>
    <w:bookmarkStart w:id="24" w:name="X12cbc78bd48197a90200e51303a100f1b1d5bc4"/>
    <w:p>
      <w:pPr>
        <w:pStyle w:val="Heading2"/>
      </w:pPr>
      <w:r>
        <w:t xml:space="preserve">3. Критерии конфигурации модулей ЕОС.ЮЛ (раздел 12 шаблона)</w:t>
      </w:r>
    </w:p>
    <w:p>
      <w:pPr>
        <w:numPr>
          <w:ilvl w:val="0"/>
          <w:numId w:val="1004"/>
        </w:numPr>
        <w:pStyle w:val="Compact"/>
      </w:pPr>
      <w:r>
        <w:t xml:space="preserve">Мониторинг JVM — срок середина Q1.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-Xms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-Xmx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50% от Request</w:t>
      </w:r>
      <w:r>
        <w:t xml:space="preserve"> </w:t>
      </w:r>
      <w:r>
        <w:t xml:space="preserve">памяти пода.</w:t>
      </w:r>
    </w:p>
    <w:p>
      <w:pPr>
        <w:numPr>
          <w:ilvl w:val="0"/>
          <w:numId w:val="1004"/>
        </w:numPr>
        <w:pStyle w:val="Compact"/>
      </w:pPr>
      <w:r>
        <w:t xml:space="preserve">Заданы</w:t>
      </w:r>
      <w:r>
        <w:t xml:space="preserve"> </w:t>
      </w:r>
      <w:r>
        <w:rPr>
          <w:rStyle w:val="VerbatimChar"/>
        </w:rPr>
        <w:t xml:space="preserve">-Xss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-XX:MaxMetaspaceSize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Limit памяти = Request</w:t>
      </w:r>
      <w:r>
        <w:t xml:space="preserve"> </w:t>
      </w:r>
      <w:r>
        <w:rPr>
          <w:bCs/>
          <w:b/>
        </w:rPr>
        <w:t xml:space="preserve">+20%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-XX:+PrintFlagsFinal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jcmd</w:t>
      </w:r>
      <w:r>
        <w:t xml:space="preserve"> </w:t>
      </w:r>
      <w:r>
        <w:t xml:space="preserve">в контейнере — пока не надо.</w:t>
      </w:r>
    </w:p>
    <w:p>
      <w:pPr>
        <w:numPr>
          <w:ilvl w:val="0"/>
          <w:numId w:val="1004"/>
        </w:numPr>
        <w:pStyle w:val="Compact"/>
      </w:pPr>
      <w:r>
        <w:t xml:space="preserve">Утилизация CPU/памяти на НТ —</w:t>
      </w:r>
      <w:r>
        <w:t xml:space="preserve"> </w:t>
      </w:r>
      <w:r>
        <w:rPr>
          <w:bCs/>
          <w:b/>
        </w:rPr>
        <w:t xml:space="preserve">не более 80% от Request</w:t>
      </w:r>
      <w:r>
        <w:t xml:space="preserve">.</w:t>
      </w:r>
    </w:p>
    <w:p>
      <w:pPr>
        <w:pStyle w:val="FirstParagraph"/>
      </w:pPr>
      <w:r>
        <w:t xml:space="preserve">Проверка по подам NCINS — в статье «Готовность тестовой среды».</w:t>
      </w:r>
    </w:p>
    <w:p>
      <w:r>
        <w:pict>
          <v:rect style="width:0;height:1.5pt" o:hralign="center" o:hrstd="t" o:hr="t"/>
        </w:pict>
      </w:r>
    </w:p>
    <w:bookmarkEnd w:id="24"/>
    <w:bookmarkStart w:id="25" w:name="заведение-задачи"/>
    <w:p>
      <w:pPr>
        <w:pStyle w:val="Heading2"/>
      </w:pPr>
      <w:r>
        <w:t xml:space="preserve">4. Заведение задачи</w:t>
      </w:r>
    </w:p>
    <w:p>
      <w:pPr>
        <w:numPr>
          <w:ilvl w:val="0"/>
          <w:numId w:val="1005"/>
        </w:numPr>
        <w:pStyle w:val="Compact"/>
      </w:pPr>
      <w:r>
        <w:t xml:space="preserve">Открыть родительскую задачу</w:t>
      </w:r>
      <w:r>
        <w:t xml:space="preserve"> </w:t>
      </w:r>
      <w:r>
        <w:rPr>
          <w:bCs/>
          <w:b/>
        </w:rPr>
        <w:t xml:space="preserve">«SFA ЮЛ ТЕСТИРОВАНИЕ РЕГРЕССИОННОЕ»</w:t>
      </w:r>
      <w:r>
        <w:t xml:space="preserve">.</w:t>
      </w:r>
      <w:r>
        <w:t xml:space="preserve"> </w:t>
      </w:r>
      <w:r>
        <w:t xml:space="preserve">В PDF шаблона ключ обрезан (</w:t>
      </w:r>
      <w:r>
        <w:rPr>
          <w:rStyle w:val="VerbatimChar"/>
        </w:rPr>
        <w:t xml:space="preserve">LOADTEST-2613</w:t>
      </w:r>
      <w:r>
        <w:t xml:space="preserve"> </w:t>
      </w:r>
      <w:r>
        <w:t xml:space="preserve">в сноске,</w:t>
      </w:r>
      <w:r>
        <w:t xml:space="preserve"> </w:t>
      </w:r>
      <w:r>
        <w:rPr>
          <w:rStyle w:val="VerbatimChar"/>
        </w:rPr>
        <w:t xml:space="preserve">LOADTEST-261387</w:t>
      </w:r>
      <w:r>
        <w:t xml:space="preserve"> </w:t>
      </w:r>
      <w:r>
        <w:t xml:space="preserve">в тексте). Актуальный ключ взять с доски</w:t>
      </w:r>
      <w:r>
        <w:t xml:space="preserve"> </w:t>
      </w:r>
      <w:r>
        <w:t xml:space="preserve">https://jira.moscow.alfaintra.net/secure/RapidBoard.jspa?rapidView=60242</w:t>
      </w:r>
    </w:p>
    <w:p>
      <w:pPr>
        <w:numPr>
          <w:ilvl w:val="0"/>
          <w:numId w:val="1005"/>
        </w:numPr>
        <w:pStyle w:val="Compact"/>
      </w:pPr>
      <w:r>
        <w:t xml:space="preserve">Create → Issue Type</w:t>
      </w:r>
      <w:r>
        <w:t xml:space="preserve"> </w:t>
      </w:r>
      <w:r>
        <w:rPr>
          <w:bCs/>
          <w:b/>
        </w:rPr>
        <w:t xml:space="preserve">Regular task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Тип запроса:</w:t>
      </w:r>
    </w:p>
    <w:p>
      <w:pPr>
        <w:numPr>
          <w:ilvl w:val="1"/>
          <w:numId w:val="1006"/>
        </w:numPr>
        <w:pStyle w:val="Compact"/>
      </w:pPr>
      <w:r>
        <w:t xml:space="preserve">«Проведение первичного НТ» — новый модуль;</w:t>
      </w:r>
    </w:p>
    <w:p>
      <w:pPr>
        <w:numPr>
          <w:ilvl w:val="1"/>
          <w:numId w:val="1006"/>
        </w:numPr>
        <w:pStyle w:val="Compact"/>
      </w:pPr>
      <w:r>
        <w:t xml:space="preserve">«Проведение регулярного НТ» — доработка.</w:t>
      </w:r>
    </w:p>
    <w:p>
      <w:pPr>
        <w:numPr>
          <w:ilvl w:val="0"/>
          <w:numId w:val="1005"/>
        </w:numPr>
        <w:pStyle w:val="Compact"/>
      </w:pPr>
      <w:r>
        <w:t xml:space="preserve">Summary — наименование модуля (</w:t>
      </w:r>
      <w:r>
        <w:rPr>
          <w:rStyle w:val="VerbatimChar"/>
        </w:rPr>
        <w:t xml:space="preserve">ufr-eos-ul-ncins</w:t>
      </w:r>
      <w:r>
        <w:t xml:space="preserve"> </w:t>
      </w:r>
      <w:r>
        <w:t xml:space="preserve">/ «Страховки для бизнеса»).</w:t>
      </w:r>
    </w:p>
    <w:p>
      <w:pPr>
        <w:numPr>
          <w:ilvl w:val="0"/>
          <w:numId w:val="1005"/>
        </w:numPr>
        <w:pStyle w:val="Compact"/>
      </w:pPr>
      <w:r>
        <w:t xml:space="preserve">Description — текстом, не ссылкой:</w:t>
      </w:r>
    </w:p>
    <w:p>
      <w:pPr>
        <w:numPr>
          <w:ilvl w:val="1"/>
          <w:numId w:val="1007"/>
        </w:numPr>
        <w:pStyle w:val="Compact"/>
      </w:pPr>
      <w:r>
        <w:t xml:space="preserve">3–4 предложения: зачем модуль и кто пользуется;</w:t>
      </w:r>
    </w:p>
    <w:p>
      <w:pPr>
        <w:numPr>
          <w:ilvl w:val="1"/>
          <w:numId w:val="1007"/>
        </w:numPr>
        <w:pStyle w:val="Compact"/>
      </w:pPr>
      <w:r>
        <w:t xml:space="preserve">цели НТ (макс. нагрузка / соответствие требованиям);</w:t>
      </w:r>
    </w:p>
    <w:p>
      <w:pPr>
        <w:numPr>
          <w:ilvl w:val="1"/>
          <w:numId w:val="1007"/>
        </w:numPr>
        <w:pStyle w:val="Compact"/>
      </w:pPr>
      <w:r>
        <w:t xml:space="preserve">дата предполагаемого релиза в прод.</w:t>
      </w:r>
    </w:p>
    <w:p>
      <w:pPr>
        <w:numPr>
          <w:ilvl w:val="0"/>
          <w:numId w:val="1005"/>
        </w:numPr>
        <w:pStyle w:val="Compact"/>
      </w:pPr>
      <w:r>
        <w:t xml:space="preserve">Assignee — менеджер по производительности.</w:t>
      </w:r>
    </w:p>
    <w:p>
      <w:pPr>
        <w:numPr>
          <w:ilvl w:val="0"/>
          <w:numId w:val="1005"/>
        </w:numPr>
        <w:pStyle w:val="Compact"/>
      </w:pPr>
      <w:r>
        <w:t xml:space="preserve">«Система в НТ» —</w:t>
      </w:r>
      <w:r>
        <w:t xml:space="preserve"> </w:t>
      </w:r>
      <w:r>
        <w:rPr>
          <w:bCs/>
          <w:b/>
        </w:rPr>
        <w:t xml:space="preserve">SFA ЮЛ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label —</w:t>
      </w:r>
      <w:r>
        <w:t xml:space="preserve"> </w:t>
      </w:r>
      <w:r>
        <w:rPr>
          <w:rStyle w:val="VerbatimChar"/>
          <w:bCs/>
          <w:b/>
        </w:rPr>
        <w:t xml:space="preserve">НТ_ЕОС_ЮЛ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Плановая дата начала — когда будут готовы стенд и анкета.</w:t>
      </w:r>
    </w:p>
    <w:p>
      <w:pPr>
        <w:numPr>
          <w:ilvl w:val="0"/>
          <w:numId w:val="1005"/>
        </w:numPr>
        <w:pStyle w:val="Compact"/>
      </w:pPr>
      <w:r>
        <w:t xml:space="preserve">Финальный статус: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если НТ не нужно,</w:t>
      </w:r>
      <w:r>
        <w:t xml:space="preserve"> </w:t>
      </w:r>
      <w:r>
        <w:rPr>
          <w:bCs/>
          <w:b/>
        </w:rPr>
        <w:t xml:space="preserve">done</w:t>
      </w:r>
      <w:r>
        <w:t xml:space="preserve"> </w:t>
      </w:r>
      <w:r>
        <w:t xml:space="preserve">если нужно.</w:t>
      </w:r>
    </w:p>
    <w:p>
      <w:pPr>
        <w:pStyle w:val="FirstParagraph"/>
      </w:pPr>
      <w:r>
        <w:t xml:space="preserve">Дальше по шаблону:</w:t>
      </w:r>
    </w:p>
    <w:p>
      <w:pPr>
        <w:numPr>
          <w:ilvl w:val="0"/>
          <w:numId w:val="1008"/>
        </w:numPr>
        <w:pStyle w:val="Compact"/>
      </w:pPr>
      <w:r>
        <w:t xml:space="preserve">Письмо Веретенникову Сергею Александровичу со ссылкой на задачу.</w:t>
      </w:r>
    </w:p>
    <w:p>
      <w:pPr>
        <w:numPr>
          <w:ilvl w:val="0"/>
          <w:numId w:val="1008"/>
        </w:numPr>
        <w:pStyle w:val="Compact"/>
      </w:pPr>
      <w:r>
        <w:t xml:space="preserve">Решение команды НТ.</w:t>
      </w:r>
    </w:p>
    <w:p>
      <w:pPr>
        <w:numPr>
          <w:ilvl w:val="0"/>
          <w:numId w:val="1008"/>
        </w:numPr>
        <w:pStyle w:val="Compact"/>
      </w:pPr>
      <w:r>
        <w:t xml:space="preserve">Если НТ нужно — дозаполнить постановку (разделы 2–3 анкеты, заглушки, сценарии).</w:t>
      </w:r>
    </w:p>
    <w:p>
      <w:pPr>
        <w:numPr>
          <w:ilvl w:val="0"/>
          <w:numId w:val="1008"/>
        </w:numPr>
        <w:pStyle w:val="Compact"/>
      </w:pPr>
      <w:r>
        <w:t xml:space="preserve">Выделить разработку и QA на профиль, сценарии и моки.</w:t>
      </w:r>
    </w:p>
    <w:p>
      <w:r>
        <w:pict>
          <v:rect style="width:0;height:1.5pt" o:hralign="center" o:hrstd="t" o:hr="t"/>
        </w:pict>
      </w:r>
    </w:p>
    <w:bookmarkEnd w:id="25"/>
    <w:bookmarkStart w:id="26" w:name="стенд-нт-sfa-юл-раздел-14.1-шаблона"/>
    <w:p>
      <w:pPr>
        <w:pStyle w:val="Heading2"/>
      </w:pPr>
      <w:r>
        <w:t xml:space="preserve">5. Стенд НТ SFA ЮЛ (раздел 14.1 шаблона)</w:t>
      </w:r>
    </w:p>
    <w:p>
      <w:pPr>
        <w:pStyle w:val="FirstParagraph"/>
      </w:pPr>
      <w:r>
        <w:t xml:space="preserve">План 2025 (подписка AI-4031, VM, k8s, мониторинг, ELK) — исторический.</w:t>
      </w:r>
      <w:r>
        <w:br/>
      </w:r>
      <w:r>
        <w:t xml:space="preserve">Актуальный статус на 2026 — у инженера НТ.</w:t>
      </w:r>
    </w:p>
    <w:p>
      <w:pPr>
        <w:pStyle w:val="BodyText"/>
      </w:pPr>
      <w:r>
        <w:t xml:space="preserve">По этому репозиторию целевой контур: кластер</w:t>
      </w:r>
      <w:r>
        <w:t xml:space="preserve"> </w:t>
      </w:r>
      <w:r>
        <w:rPr>
          <w:rStyle w:val="VerbatimChar"/>
        </w:rPr>
        <w:t xml:space="preserve">ufrulkltmaster1.moscow.alfaintra.net</w:t>
      </w:r>
      <w:r>
        <w:t xml:space="preserve">,</w:t>
      </w:r>
      <w:r>
        <w:t xml:space="preserve"> </w:t>
      </w:r>
      <w:r>
        <w:t xml:space="preserve">namespace в values</w:t>
      </w:r>
      <w:r>
        <w:t xml:space="preserve"> </w:t>
      </w:r>
      <w:r>
        <w:rPr>
          <w:rStyle w:val="VerbatimChar"/>
        </w:rPr>
        <w:t xml:space="preserve">ufr-eos-ul-ncins</w:t>
      </w:r>
      <w:r>
        <w:t xml:space="preserve"> </w:t>
      </w:r>
      <w:r>
        <w:t xml:space="preserve">(в README указан другой —</w:t>
      </w:r>
      <w:r>
        <w:t xml:space="preserve"> </w:t>
      </w:r>
      <w:r>
        <w:rPr>
          <w:rStyle w:val="VerbatimChar"/>
        </w:rPr>
        <w:t xml:space="preserve">ufr-ncins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запросить-у-нт"/>
    <w:p>
      <w:pPr>
        <w:pStyle w:val="Heading2"/>
      </w:pPr>
      <w:r>
        <w:t xml:space="preserve">6. Запросить у НТ</w:t>
      </w:r>
    </w:p>
    <w:p>
      <w:pPr>
        <w:numPr>
          <w:ilvl w:val="0"/>
          <w:numId w:val="1009"/>
        </w:numPr>
        <w:pStyle w:val="Compact"/>
      </w:pPr>
      <w:r>
        <w:t xml:space="preserve">☐ Актуальный ключ родительской Jira-задачи</w:t>
      </w:r>
    </w:p>
    <w:p>
      <w:pPr>
        <w:numPr>
          <w:ilvl w:val="0"/>
          <w:numId w:val="1009"/>
        </w:numPr>
        <w:pStyle w:val="Compact"/>
      </w:pPr>
      <w:r>
        <w:t xml:space="preserve">☐ Статус стенда SFA ЮЛ на 2026</w:t>
      </w:r>
    </w:p>
    <w:p>
      <w:pPr>
        <w:numPr>
          <w:ilvl w:val="0"/>
          <w:numId w:val="1009"/>
        </w:numPr>
        <w:pStyle w:val="Compact"/>
      </w:pPr>
      <w:r>
        <w:t xml:space="preserve">☐ Grafana по</w:t>
      </w:r>
      <w:r>
        <w:t xml:space="preserve"> </w:t>
      </w:r>
      <w:r>
        <w:rPr>
          <w:rStyle w:val="VerbatimChar"/>
        </w:rPr>
        <w:t xml:space="preserve">ufr-eos-ul-ncins</w:t>
      </w:r>
    </w:p>
    <w:p>
      <w:pPr>
        <w:numPr>
          <w:ilvl w:val="0"/>
          <w:numId w:val="1009"/>
        </w:numPr>
        <w:pStyle w:val="Compact"/>
      </w:pPr>
      <w:r>
        <w:t xml:space="preserve">☐ Что на ЛТ живое, что мок (UI уже смотрит в</w:t>
      </w:r>
      <w:r>
        <w:t xml:space="preserve"> </w:t>
      </w:r>
      <w:r>
        <w:rPr>
          <w:rStyle w:val="VerbatimChar"/>
        </w:rPr>
        <w:t xml:space="preserve">ufrulltmock1/2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☐ Kafka: реальный брокер или нет</w:t>
      </w:r>
    </w:p>
    <w:p>
      <w:pPr>
        <w:numPr>
          <w:ilvl w:val="0"/>
          <w:numId w:val="1009"/>
        </w:numPr>
        <w:pStyle w:val="Compact"/>
      </w:pPr>
      <w:r>
        <w:t xml:space="preserve">☐ Формат дата-пулов</w:t>
      </w:r>
    </w:p>
    <w:p>
      <w:pPr>
        <w:numPr>
          <w:ilvl w:val="0"/>
          <w:numId w:val="1009"/>
        </w:numPr>
        <w:pStyle w:val="Compact"/>
      </w:pPr>
      <w:r>
        <w:t xml:space="preserve">☐ Согласование отклонений JVM/лимитов (см. «Готовность тестовой среды»)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2026-09-18T07:36:21Z</dcterms:created>
  <dcterms:modified xsi:type="dcterms:W3CDTF">2026-09-18T07:36:21Z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