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база-расчёта-нагрузки"/>
    <w:p>
      <w:pPr>
        <w:pStyle w:val="Heading1"/>
      </w:pPr>
      <w:r>
        <w:t xml:space="preserve">База расчёта нагрузки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База расчёта нагрузки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NCINS в SFA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t xml:space="preserve">Версия: 0.2</w:t>
      </w:r>
      <w:r>
        <w:br/>
      </w:r>
      <w:r>
        <w:t xml:space="preserve">Дата: 16.09.2026</w:t>
      </w:r>
    </w:p>
    <w:p>
      <w:pPr>
        <w:pStyle w:val="BlockText"/>
      </w:pPr>
      <w:r>
        <w:t xml:space="preserve">В колонку «Значение» попадают только величины, которые прямо следуют из UMP-пререквизитов</w:t>
      </w:r>
      <w:r>
        <w:t xml:space="preserve"> </w:t>
      </w:r>
      <w:r>
        <w:t xml:space="preserve">или из конфига. Остальное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, не экспертная оценка.</w:t>
      </w:r>
    </w:p>
    <w:p>
      <w:r>
        <w:pict>
          <v:rect style="width:0;height:1.5pt" o:hralign="center" o:hrstd="t" o:hr="t"/>
        </w:pict>
      </w:r>
    </w:p>
    <w:bookmarkStart w:id="20" w:name="подтверждённая-база-из-ump"/>
    <w:p>
      <w:pPr>
        <w:pStyle w:val="Heading2"/>
      </w:pPr>
      <w:r>
        <w:t xml:space="preserve">1. Подтверждённая база (из UMP)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ump-prepare-documents-ncins-pa</w:t>
      </w:r>
      <w:r>
        <w:t xml:space="preserve"> </w:t>
      </w:r>
      <w:r>
        <w:t xml:space="preserve">(и согласованные с ним payment / delete / finalisation).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заявок СА в 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«База нагрузки СА: 15 000 заявок/мес SFA»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интенсивность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≈89 заявок/час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 / 168 ч (21 раб. день × 8 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≈180 заявок/час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UMP явно: «пик ≈180/час»; отношение пик/среднее ≈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timeout-веток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prepare-documents / delete-documents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timeout — 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prepare-documents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Delete-documents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~4–5/час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 ×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Finalisation / EA ×3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≈85–170 заявок; EA ~255–510 вызовов/час в пике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finalisation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/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≈85/час, пик ≈170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payment (после signing-timeout)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15 000 / 168 ≈ 89 заявок/час</w:t>
      </w:r>
      <w:r>
        <w:br/>
      </w:r>
      <w:r>
        <w:rPr>
          <w:rStyle w:val="VerbatimChar"/>
        </w:rPr>
        <w:t xml:space="preserve">89 × 2     ≈ 180 заявок/час пик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интенсивность бизнес-заявок NCINS, инициированных из SFA</w:t>
      </w:r>
      <w:r>
        <w:t xml:space="preserve">, а не TPH каждого REST-метода</w:t>
      </w:r>
      <w:r>
        <w:t xml:space="preserve"> </w:t>
      </w:r>
      <w:r>
        <w:rPr>
          <w:rStyle w:val="VerbatimChar"/>
        </w:rPr>
        <w:t xml:space="preserve">core-api</w:t>
      </w:r>
      <w:r>
        <w:t xml:space="preserve"> </w:t>
      </w:r>
      <w:r>
        <w:t xml:space="preserve">/ UI.</w:t>
      </w:r>
    </w:p>
    <w:p>
      <w:r>
        <w:pict>
          <v:rect style="width:0;height:1.5pt" o:hralign="center" o:hrstd="t" o:hr="t"/>
        </w:pict>
      </w:r>
    </w:p>
    <w:bookmarkEnd w:id="20"/>
    <w:bookmarkStart w:id="21" w:name="расхождение-внутри-ump-не-замазывать"/>
    <w:p>
      <w:pPr>
        <w:pStyle w:val="Heading2"/>
      </w:pPr>
      <w:r>
        <w:t xml:space="preserve">2. Расхождение внутри UMP — не замазывать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ump-main-ma-ncins-pa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250/час</w:t>
            </w:r>
            <w:r>
              <w:t xml:space="preserve"> </w:t>
            </w:r>
            <w:r>
              <w:t xml:space="preserve">(и прогноз 250/час)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/ payment / finalisation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≈89 среднее / ≈180 пик</w:t>
            </w:r>
            <w:r>
              <w:t xml:space="preserve"> </w:t>
            </w:r>
            <w:r>
              <w:t xml:space="preserve">(от 15 000/мес)</w:t>
            </w:r>
          </w:p>
        </w:tc>
      </w:tr>
    </w:tbl>
    <w:p>
      <w:pPr>
        <w:pStyle w:val="BodyText"/>
      </w:pPr>
      <w:r>
        <w:t xml:space="preserve">Для анкеты SFA принимаем</w:t>
      </w:r>
      <w:r>
        <w:t xml:space="preserve"> </w:t>
      </w:r>
      <w:r>
        <w:rPr>
          <w:bCs/>
          <w:b/>
        </w:rPr>
        <w:t xml:space="preserve">89 / 180</w:t>
      </w:r>
      <w:r>
        <w:t xml:space="preserve"> </w:t>
      </w:r>
      <w:r>
        <w:t xml:space="preserve">как единственную величину с прозрачной формулой.</w:t>
      </w:r>
      <w:r>
        <w:br/>
      </w:r>
      <w:r>
        <w:rPr>
          <w:bCs/>
          <w:b/>
        </w:rPr>
        <w:t xml:space="preserve">250/час</w:t>
      </w:r>
      <w:r>
        <w:t xml:space="preserve"> </w:t>
      </w:r>
      <w:r>
        <w:t xml:space="preserve">оставляем открытым вопросом к аналитику: это другой профиль, другой канал (NIB) или устаревшая оценка.</w:t>
      </w:r>
    </w:p>
    <w:p>
      <w:r>
        <w:pict>
          <v:rect style="width:0;height:1.5pt" o:hralign="center" o:hrstd="t" o:hr="t"/>
        </w:pict>
      </w:r>
    </w:p>
    <w:bookmarkEnd w:id="21"/>
    <w:bookmarkStart w:id="22" w:name="что-нельзя-считать-чпн-сервисов"/>
    <w:p>
      <w:pPr>
        <w:pStyle w:val="Heading2"/>
      </w:pPr>
      <w:r>
        <w:t xml:space="preserve">3. Что нельзя считать ЧПН сервисов</w:t>
      </w:r>
    </w:p>
    <w:p>
      <w:pPr>
        <w:pStyle w:val="FirstParagraph"/>
      </w:pPr>
      <w:r>
        <w:t xml:space="preserve">Черновик 0.1 умножал заявки на произвольные коэффициенты: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снято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core-api</w:t>
            </w:r>
            <w:r>
              <w:t xml:space="preserve"> </w:t>
            </w:r>
            <w:r>
              <w:t xml:space="preserve">×6 → 530/час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списка методов. Кэш Redis TTL 60 мин режет повторы к accounts/client/sign/manager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</w:t>
            </w:r>
            <w:r>
              <w:t xml:space="preserve"> </w:t>
            </w:r>
            <w:r>
              <w:t xml:space="preserve">×9 → 800/час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Транзит не равен «заявка × 9». Плюс противоречие с UI 1790/час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module-info</w:t>
            </w:r>
            <w:r>
              <w:t xml:space="preserve"> </w:t>
            </w:r>
            <w:r>
              <w:t xml:space="preserve">×3 → 270/час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модуль ≠ оформленная заявка. У</w:t>
            </w:r>
            <w:r>
              <w:t xml:space="preserve"> </w:t>
            </w:r>
            <w:r>
              <w:rPr>
                <w:rStyle w:val="VerbatimChar"/>
              </w:rPr>
              <w:t xml:space="preserve">operations.access-ncins</w:t>
            </w:r>
            <w:r>
              <w:t xml:space="preserve"> </w:t>
            </w:r>
            <w:r>
              <w:t xml:space="preserve">стоит</w:t>
            </w:r>
            <w:r>
              <w:t xml:space="preserve"> </w:t>
            </w:r>
            <w:r>
              <w:rPr>
                <w:rStyle w:val="VerbatimChar"/>
              </w:rPr>
              <w:t xml:space="preserve">checkRoles: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×20 → 1790/час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Статика SPA и API нельзя складывать в одну ЧПН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access-checker</w:t>
            </w:r>
            <w:r>
              <w:t xml:space="preserve"> </w:t>
            </w:r>
            <w:r>
              <w:t xml:space="preserve">5/час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Диагностика, не бизнес-профиль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×1,3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UMP прогноз — TBD</w:t>
            </w:r>
          </w:p>
        </w:tc>
      </w:tr>
    </w:tbl>
    <w:p>
      <w:pPr>
        <w:pStyle w:val="BodyText"/>
      </w:pPr>
      <w:r>
        <w:t xml:space="preserve">ЧПН на внутренние вызовы SFA (accounts, customers, UMP, NIB, OBIP, sign) =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до OpenAPI</w:t>
      </w:r>
      <w:r>
        <w:t xml:space="preserve"> </w:t>
      </w:r>
      <w:r>
        <w:t xml:space="preserve">и карты вызовов. Ориентир «не больше потока заявок» допустим только как верхняя оценка</w:t>
      </w:r>
      <w:r>
        <w:t xml:space="preserve"> </w:t>
      </w:r>
      <w:r>
        <w:t xml:space="preserve">для операций «один раз на заявку» (создание заявки в UMP,</w:t>
      </w:r>
      <w:r>
        <w:t xml:space="preserve"> </w:t>
      </w:r>
      <w:r>
        <w:rPr>
          <w:rStyle w:val="VerbatimChar"/>
        </w:rPr>
        <w:t xml:space="preserve">paymentFinished</w:t>
      </w:r>
      <w:r>
        <w:t xml:space="preserve">, create-contract).</w:t>
      </w:r>
    </w:p>
    <w:p>
      <w:r>
        <w:pict>
          <v:rect style="width:0;height:1.5pt" o:hralign="center" o:hrstd="t" o:hr="t"/>
        </w:pict>
      </w:r>
    </w:p>
    <w:bookmarkEnd w:id="22"/>
    <w:bookmarkStart w:id="23" w:name="итоговая-таблица-для-анкеты"/>
    <w:p>
      <w:pPr>
        <w:pStyle w:val="Heading2"/>
      </w:pPr>
      <w:r>
        <w:t xml:space="preserve">4. Итоговая таблица для анкеты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ЧПН модуля (заявки)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≈89/час среднее, ≈180/час 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HTTP SFA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сек UMP prepare-documents — SLA BPMN-процесса, не API SFA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сек — не из ТЗ NCINS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ЧПН по методам</w:t>
            </w:r>
            <w:r>
              <w:t xml:space="preserve"> </w:t>
            </w:r>
            <w:r>
              <w:rPr>
                <w:rStyle w:val="VerbatimChar"/>
              </w:rPr>
              <w:t xml:space="preserve">core-api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ЧПН</w:t>
            </w:r>
            <w:r>
              <w:t xml:space="preserve"> </w:t>
            </w:r>
            <w:r>
              <w:rPr>
                <w:rStyle w:val="VerbatimChar"/>
              </w:rPr>
              <w:t xml:space="preserve">module-info-api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нагрузка сервисной панели, не заявок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ЧПН</w:t>
            </w:r>
            <w:r>
              <w:t xml:space="preserve"> </w:t>
            </w:r>
            <w:r>
              <w:rPr>
                <w:rStyle w:val="VerbatimChar"/>
              </w:rPr>
              <w:t xml:space="preserve">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профиле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+6 месяцев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Сезонность страхования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</w:tbl>
    <w:p>
      <w:pPr>
        <w:pStyle w:val="BodyText"/>
      </w:pPr>
      <w:r>
        <w:t xml:space="preserve">Ориентир по порядку SLA (не утверждён, только чтобы не переносить 30 сек UMP):</w:t>
      </w:r>
      <w:r>
        <w:t xml:space="preserve"> </w:t>
      </w:r>
      <w:r>
        <w:t xml:space="preserve">в анкете NSSFA для UI/API ЕОС.ЮЛ типичны</w:t>
      </w:r>
      <w:r>
        <w:t xml:space="preserve"> </w:t>
      </w:r>
      <w:r>
        <w:rPr>
          <w:bCs/>
          <w:b/>
        </w:rPr>
        <w:t xml:space="preserve">2–10 сек</w:t>
      </w:r>
      <w:r>
        <w:t xml:space="preserve"> </w:t>
      </w:r>
      <w:r>
        <w:t xml:space="preserve">на пользовательский шаг. Для NCINS это</w:t>
      </w:r>
      <w:r>
        <w:t xml:space="preserve"> </w:t>
      </w:r>
      <w:r>
        <w:t xml:space="preserve">нужно взять из ТЗ/NFR.</w:t>
      </w:r>
    </w:p>
    <w:p>
      <w:r>
        <w:pict>
          <v:rect style="width:0;height:1.5pt" o:hralign="center" o:hrstd="t" o:hr="t"/>
        </w:pict>
      </w:r>
    </w:p>
    <w:bookmarkEnd w:id="23"/>
    <w:bookmarkStart w:id="24" w:name="вопросы-аналитику"/>
    <w:p>
      <w:pPr>
        <w:pStyle w:val="Heading2"/>
      </w:pPr>
      <w:r>
        <w:t xml:space="preserve">5. Вопросы аналитику</w:t>
      </w:r>
    </w:p>
    <w:p>
      <w:pPr>
        <w:numPr>
          <w:ilvl w:val="0"/>
          <w:numId w:val="1001"/>
        </w:numPr>
        <w:pStyle w:val="Compact"/>
      </w:pPr>
      <w:r>
        <w:t xml:space="preserve">☐ Актуальны ли 15 000 заявок/мес на текущий горизонт?</w:t>
      </w:r>
    </w:p>
    <w:p>
      <w:pPr>
        <w:numPr>
          <w:ilvl w:val="0"/>
          <w:numId w:val="1001"/>
        </w:numPr>
        <w:pStyle w:val="Compact"/>
      </w:pPr>
      <w:r>
        <w:t xml:space="preserve">☐ Чем объясняется 250/час в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 </w:t>
      </w:r>
      <w:r>
        <w:t xml:space="preserve">vs 89/180 в остальных воркерах?</w:t>
      </w:r>
    </w:p>
    <w:p>
      <w:pPr>
        <w:numPr>
          <w:ilvl w:val="0"/>
          <w:numId w:val="1001"/>
        </w:numPr>
        <w:pStyle w:val="Compact"/>
      </w:pPr>
      <w:r>
        <w:t xml:space="preserve">☐ Канал в проме: только SFA или ещё NIB? Как делить ЧПН?</w:t>
      </w:r>
    </w:p>
    <w:p>
      <w:pPr>
        <w:numPr>
          <w:ilvl w:val="0"/>
          <w:numId w:val="1001"/>
        </w:numPr>
        <w:pStyle w:val="Compact"/>
      </w:pPr>
      <w:r>
        <w:t xml:space="preserve">☐ SLA по шагам UI (карточка модуля, счета, расчёт, создание, подписание, статус).</w:t>
      </w:r>
    </w:p>
    <w:p>
      <w:pPr>
        <w:numPr>
          <w:ilvl w:val="0"/>
          <w:numId w:val="1001"/>
        </w:numPr>
        <w:pStyle w:val="Compact"/>
      </w:pPr>
      <w:r>
        <w:t xml:space="preserve">☐ Прогноз +6 мес и +3 года (для критерия «≤1 раз/час»).</w:t>
      </w:r>
    </w:p>
    <w:p>
      <w:pPr>
        <w:numPr>
          <w:ilvl w:val="0"/>
          <w:numId w:val="1001"/>
        </w:numPr>
        <w:pStyle w:val="Compact"/>
      </w:pPr>
      <w:r>
        <w:t xml:space="preserve">☐ Доли SMS vs бумажная подпись, если применимо к NCINS.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