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eastAsia="微软雅黑" w:cs="微软雅黑"/>
          <w:sz w:val="48"/>
          <w:szCs w:val="48"/>
          <w:lang w:val="en-US" w:eastAsia="zh-CN"/>
        </w:rPr>
      </w:pPr>
      <w:r>
        <w:rPr>
          <w:rFonts w:hint="eastAsia" w:ascii="微软雅黑" w:hAnsi="微软雅黑" w:eastAsia="微软雅黑" w:cs="微软雅黑"/>
          <w:sz w:val="48"/>
          <w:szCs w:val="48"/>
          <w:lang w:val="en-US" w:eastAsia="zh-CN"/>
        </w:rPr>
        <w:t>代理模块</w:t>
      </w:r>
    </w:p>
    <w:p>
      <w:pPr>
        <w:jc w:val="left"/>
        <w:rPr>
          <w:rFonts w:hint="eastAsia" w:ascii="微软雅黑" w:hAnsi="微软雅黑" w:eastAsia="微软雅黑" w:cs="微软雅黑"/>
          <w:sz w:val="24"/>
          <w:szCs w:val="24"/>
          <w:lang w:val="en-US" w:eastAsia="zh-CN"/>
        </w:rPr>
      </w:pPr>
    </w:p>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文档记录：2017-10-16 添加</w:t>
      </w:r>
    </w:p>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TOC \o "1-3" \h \u </w:instrText>
      </w:r>
      <w:r>
        <w:rPr>
          <w:rFonts w:hint="eastAsia" w:ascii="微软雅黑" w:hAnsi="微软雅黑" w:eastAsia="微软雅黑" w:cs="微软雅黑"/>
          <w:sz w:val="24"/>
          <w:szCs w:val="24"/>
          <w:lang w:val="en-US" w:eastAsia="zh-CN"/>
        </w:rPr>
        <w:fldChar w:fldCharType="separate"/>
      </w:r>
      <w:r>
        <w:rPr>
          <w:b/>
        </w:rPr>
        <w:t>错误！未找到目录项。</w:t>
      </w:r>
      <w:r>
        <w:rPr>
          <w:rFonts w:hint="eastAsia" w:ascii="微软雅黑" w:hAnsi="微软雅黑" w:eastAsia="微软雅黑" w:cs="微软雅黑"/>
          <w:sz w:val="24"/>
          <w:szCs w:val="24"/>
          <w:lang w:val="en-US" w:eastAsia="zh-CN"/>
        </w:rPr>
        <w:fldChar w:fldCharType="end"/>
      </w:r>
    </w:p>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1"/>
        </w:numPr>
        <w:ind w:left="0" w:leftChars="0" w:firstLine="640" w:firstLineChars="200"/>
        <w:jc w:val="left"/>
        <w:outlineLvl w:val="0"/>
        <w:rPr>
          <w:rFonts w:hint="eastAsia" w:ascii="微软雅黑" w:hAnsi="微软雅黑" w:eastAsia="微软雅黑" w:cs="微软雅黑"/>
          <w:b/>
          <w:bCs/>
          <w:sz w:val="32"/>
          <w:szCs w:val="32"/>
          <w:lang w:val="en-US" w:eastAsia="zh-CN"/>
        </w:rPr>
      </w:pPr>
      <w:r>
        <w:rPr>
          <w:rFonts w:hint="eastAsia" w:ascii="微软雅黑" w:hAnsi="微软雅黑" w:eastAsia="微软雅黑" w:cs="微软雅黑"/>
          <w:b/>
          <w:bCs/>
          <w:sz w:val="32"/>
          <w:szCs w:val="32"/>
          <w:lang w:val="en-US" w:eastAsia="zh-CN"/>
        </w:rPr>
        <w:t>名词解释：</w:t>
      </w:r>
    </w:p>
    <w:p>
      <w:pPr>
        <w:numPr>
          <w:ilvl w:val="0"/>
          <w:numId w:val="2"/>
        </w:numPr>
        <w:ind w:left="420" w:leftChars="200" w:firstLine="420" w:firstLineChars="0"/>
        <w:jc w:val="left"/>
        <w:outlineLvl w:val="1"/>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代理：</w:t>
      </w:r>
    </w:p>
    <w:p>
      <w:pPr>
        <w:numPr>
          <w:ilvl w:val="1"/>
          <w:numId w:val="2"/>
        </w:numPr>
        <w:ind w:left="840" w:leftChars="0" w:firstLine="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定义：在玩家和运营商中间可能存在的中间人，通过与运营商协定的抽水、抽佣设定，经过自己发展下线玩家产生的输赢和打码量来获取利益。</w:t>
      </w:r>
    </w:p>
    <w:p>
      <w:pPr>
        <w:numPr>
          <w:ilvl w:val="1"/>
          <w:numId w:val="2"/>
        </w:numPr>
        <w:ind w:left="840" w:leftChars="0" w:firstLine="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获取利益方式：代理与运营商通过【代理设置】中对应的{返水}和{返佣}来进行结算。</w:t>
      </w:r>
    </w:p>
    <w:p>
      <w:pPr>
        <w:numPr>
          <w:ilvl w:val="5"/>
          <w:numId w:val="2"/>
        </w:numPr>
        <w:ind w:left="2520" w:leftChars="0" w:hanging="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返水：在【新增代理】通过【设置抽水】来根据玩家产生的打码量按比例给代理返回利益。如该代理下线所有玩家在游戏A中当月产生了100万流水，在【设置抽水】中设置该代理对应的该游戏抽水百分比为0.1%。则运营商需要给该代理1000块。</w:t>
      </w:r>
    </w:p>
    <w:p>
      <w:pPr>
        <w:numPr>
          <w:ilvl w:val="5"/>
          <w:numId w:val="2"/>
        </w:numPr>
        <w:ind w:left="2520" w:leftChars="0" w:hanging="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返佣：返佣结算基本同返水。注：返佣可能存在负的情况。如在返佣设置中设置该代理的返佣比例为50%，结果玩家在平台中赢了10万块，结算的时候代理的利益为-5万。</w:t>
      </w:r>
    </w:p>
    <w:p>
      <w:pPr>
        <w:numPr>
          <w:ilvl w:val="1"/>
          <w:numId w:val="2"/>
        </w:numPr>
        <w:ind w:left="840" w:leftChars="0" w:firstLine="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代理多层结构（</w:t>
      </w:r>
      <w:r>
        <w:rPr>
          <w:rFonts w:hint="eastAsia" w:ascii="微软雅黑" w:hAnsi="微软雅黑" w:eastAsia="微软雅黑" w:cs="微软雅黑"/>
          <w:color w:val="FF0000"/>
          <w:sz w:val="24"/>
          <w:szCs w:val="24"/>
          <w:lang w:val="en-US" w:eastAsia="zh-CN"/>
        </w:rPr>
        <w:t>本功能在当前平台中未体现、为新增功能</w:t>
      </w:r>
      <w:r>
        <w:rPr>
          <w:rFonts w:hint="eastAsia" w:ascii="微软雅黑" w:hAnsi="微软雅黑" w:eastAsia="微软雅黑" w:cs="微软雅黑"/>
          <w:sz w:val="24"/>
          <w:szCs w:val="24"/>
          <w:lang w:val="en-US" w:eastAsia="zh-CN"/>
        </w:rPr>
        <w:t>）：</w:t>
      </w:r>
    </w:p>
    <w:p>
      <w:pPr>
        <w:numPr>
          <w:ilvl w:val="5"/>
          <w:numId w:val="2"/>
        </w:numPr>
        <w:ind w:left="2520" w:leftChars="0" w:hanging="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代理在本系统中拥有三层结构。具体的每个层级代理名由运营商进行设定{一级代理名}、{二级代理名}、{三级代理名}。</w:t>
      </w:r>
    </w:p>
    <w:p>
      <w:pPr>
        <w:numPr>
          <w:ilvl w:val="5"/>
          <w:numId w:val="2"/>
        </w:numPr>
        <w:ind w:left="2520" w:leftChars="0" w:hanging="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代理结构示意图：</w:t>
      </w:r>
      <w:r>
        <w:rPr>
          <w:rFonts w:hint="eastAsia" w:ascii="微软雅黑" w:hAnsi="微软雅黑" w:eastAsia="微软雅黑" w:cs="微软雅黑"/>
        </w:rPr>
        <w:drawing>
          <wp:inline distT="0" distB="0" distL="114300" distR="114300">
            <wp:extent cx="4942840" cy="352361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942840" cy="3523615"/>
                    </a:xfrm>
                    <a:prstGeom prst="rect">
                      <a:avLst/>
                    </a:prstGeom>
                    <a:noFill/>
                    <a:ln w="9525">
                      <a:noFill/>
                    </a:ln>
                  </pic:spPr>
                </pic:pic>
              </a:graphicData>
            </a:graphic>
          </wp:inline>
        </w:drawing>
      </w:r>
    </w:p>
    <w:p>
      <w:pPr>
        <w:numPr>
          <w:ilvl w:val="0"/>
          <w:numId w:val="2"/>
        </w:numPr>
        <w:ind w:left="420" w:leftChars="200" w:firstLine="420" w:firstLineChars="0"/>
        <w:jc w:val="left"/>
        <w:outlineLvl w:val="1"/>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浮动设置：</w:t>
      </w:r>
    </w:p>
    <w:p>
      <w:pPr>
        <w:numPr>
          <w:ilvl w:val="1"/>
          <w:numId w:val="2"/>
        </w:numPr>
        <w:ind w:left="840" w:leftChars="0" w:firstLine="420" w:firstLineChars="0"/>
        <w:jc w:val="left"/>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24"/>
          <w:szCs w:val="24"/>
          <w:lang w:val="en-US" w:eastAsia="zh-CN"/>
        </w:rPr>
        <w:t>定义</w:t>
      </w:r>
      <w:r>
        <w:rPr>
          <w:rFonts w:hint="eastAsia" w:ascii="微软雅黑" w:hAnsi="微软雅黑" w:eastAsia="微软雅黑" w:cs="微软雅黑"/>
          <w:sz w:val="30"/>
          <w:szCs w:val="30"/>
          <w:lang w:val="en-US" w:eastAsia="zh-CN"/>
        </w:rPr>
        <w:t>：</w:t>
      </w:r>
      <w:r>
        <w:rPr>
          <w:rFonts w:hint="eastAsia" w:ascii="微软雅黑" w:hAnsi="微软雅黑" w:eastAsia="微软雅黑" w:cs="微软雅黑"/>
          <w:sz w:val="24"/>
          <w:szCs w:val="24"/>
          <w:lang w:val="en-US" w:eastAsia="zh-CN"/>
        </w:rPr>
        <w:t>根据变量A值的范围决定变量B的值。</w:t>
      </w:r>
      <w:r>
        <w:rPr>
          <w:rFonts w:hint="eastAsia" w:ascii="微软雅黑" w:hAnsi="微软雅黑" w:eastAsia="微软雅黑" w:cs="微软雅黑"/>
        </w:rPr>
        <w:drawing>
          <wp:inline distT="0" distB="0" distL="114300" distR="114300">
            <wp:extent cx="5264150" cy="1710055"/>
            <wp:effectExtent l="0" t="0" r="1270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64150" cy="1710055"/>
                    </a:xfrm>
                    <a:prstGeom prst="rect">
                      <a:avLst/>
                    </a:prstGeom>
                    <a:noFill/>
                    <a:ln w="9525">
                      <a:noFill/>
                    </a:ln>
                  </pic:spPr>
                </pic:pic>
              </a:graphicData>
            </a:graphic>
          </wp:inline>
        </w:drawing>
      </w:r>
      <w:r>
        <w:rPr>
          <w:rFonts w:hint="eastAsia" w:ascii="微软雅黑" w:hAnsi="微软雅黑" w:eastAsia="微软雅黑" w:cs="微软雅黑"/>
          <w:lang w:val="en-US" w:eastAsia="zh-CN"/>
        </w:rPr>
        <w:t>备注：主要用于玩家返水和代理返水的结算。</w:t>
      </w:r>
    </w:p>
    <w:p>
      <w:pPr>
        <w:numPr>
          <w:ilvl w:val="1"/>
          <w:numId w:val="2"/>
        </w:numPr>
        <w:ind w:left="840" w:leftChars="0" w:firstLine="420" w:firstLineChars="0"/>
        <w:jc w:val="left"/>
        <w:rPr>
          <w:rFonts w:hint="eastAsia" w:ascii="微软雅黑" w:hAnsi="微软雅黑" w:eastAsia="微软雅黑" w:cs="微软雅黑"/>
          <w:color w:val="FF0000"/>
          <w:sz w:val="30"/>
          <w:szCs w:val="30"/>
          <w:lang w:val="en-US" w:eastAsia="zh-CN"/>
        </w:rPr>
      </w:pPr>
      <w:r>
        <w:rPr>
          <w:rFonts w:hint="eastAsia" w:ascii="微软雅黑" w:hAnsi="微软雅黑" w:eastAsia="微软雅黑" w:cs="微软雅黑"/>
          <w:color w:val="FF0000"/>
          <w:lang w:val="en-US" w:eastAsia="zh-CN"/>
        </w:rPr>
        <w:t>调整：当前平台是浮动条件最大值计算方式“&gt;=”，调整为“&gt;”，数值上更直观，不用所有值后面都加1.</w:t>
      </w:r>
    </w:p>
    <w:p>
      <w:pPr>
        <w:numPr>
          <w:ilvl w:val="1"/>
          <w:numId w:val="2"/>
        </w:numPr>
        <w:ind w:left="840" w:leftChars="0" w:firstLine="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注意事项：</w:t>
      </w:r>
    </w:p>
    <w:p>
      <w:pPr>
        <w:numPr>
          <w:ilvl w:val="5"/>
          <w:numId w:val="2"/>
        </w:numPr>
        <w:ind w:left="2520" w:leftChars="0" w:hanging="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输入时浮动条件为从大到小排列，需要校验。如果不是，则不予处理。</w:t>
      </w:r>
    </w:p>
    <w:p>
      <w:pPr>
        <w:numPr>
          <w:ilvl w:val="5"/>
          <w:numId w:val="2"/>
        </w:numPr>
        <w:ind w:left="2520" w:leftChars="0" w:hanging="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输入时返水数值“比例（%）”，不需要校验。</w:t>
      </w:r>
    </w:p>
    <w:p>
      <w:pPr>
        <w:numPr>
          <w:ilvl w:val="0"/>
          <w:numId w:val="2"/>
        </w:numPr>
        <w:ind w:left="420" w:leftChars="200" w:firstLine="420" w:firstLineChars="0"/>
        <w:jc w:val="left"/>
        <w:outlineLvl w:val="1"/>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有效会员：</w:t>
      </w:r>
    </w:p>
    <w:p>
      <w:pPr>
        <w:numPr>
          <w:ilvl w:val="5"/>
          <w:numId w:val="2"/>
        </w:numPr>
        <w:ind w:left="2520" w:leftChars="0" w:hanging="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有效会员当月投注总额：在代理新增中设置有效会员的条件为{后台-系统设置-代理层级设置-计算分摊-有效会员当月投注总额}。</w:t>
      </w:r>
    </w:p>
    <w:p>
      <w:pPr>
        <w:numPr>
          <w:ilvl w:val="5"/>
          <w:numId w:val="2"/>
        </w:numPr>
        <w:ind w:left="2520" w:leftChars="0" w:hanging="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当玩家的累计打码量（投注总额）&gt;=该项的时候，才能被判定为该代理的有效会员。</w:t>
      </w:r>
    </w:p>
    <w:p>
      <w:pPr>
        <w:numPr>
          <w:ilvl w:val="0"/>
          <w:numId w:val="1"/>
        </w:numPr>
        <w:ind w:left="0" w:leftChars="0" w:firstLine="640" w:firstLineChars="200"/>
        <w:jc w:val="left"/>
        <w:outlineLvl w:val="0"/>
        <w:rPr>
          <w:rFonts w:hint="eastAsia" w:ascii="微软雅黑" w:hAnsi="微软雅黑" w:eastAsia="微软雅黑" w:cs="微软雅黑"/>
          <w:b/>
          <w:bCs/>
          <w:sz w:val="32"/>
          <w:szCs w:val="32"/>
          <w:lang w:val="en-US" w:eastAsia="zh-CN"/>
        </w:rPr>
      </w:pPr>
      <w:r>
        <w:rPr>
          <w:rFonts w:hint="eastAsia" w:ascii="微软雅黑" w:hAnsi="微软雅黑" w:eastAsia="微软雅黑" w:cs="微软雅黑"/>
          <w:b/>
          <w:bCs/>
          <w:sz w:val="32"/>
          <w:szCs w:val="32"/>
          <w:lang w:val="en-US" w:eastAsia="zh-CN"/>
        </w:rPr>
        <w:t>代理相关功能结构：</w:t>
      </w:r>
    </w:p>
    <w:p>
      <w:pPr>
        <w:numPr>
          <w:ilvl w:val="0"/>
          <w:numId w:val="3"/>
        </w:numPr>
        <w:ind w:left="420" w:leftChars="200" w:firstLine="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rPr>
        <w:drawing>
          <wp:inline distT="0" distB="0" distL="114300" distR="114300">
            <wp:extent cx="2505075" cy="4961890"/>
            <wp:effectExtent l="0" t="0" r="952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2505075" cy="4961890"/>
                    </a:xfrm>
                    <a:prstGeom prst="rect">
                      <a:avLst/>
                    </a:prstGeom>
                    <a:noFill/>
                    <a:ln w="9525">
                      <a:noFill/>
                    </a:ln>
                  </pic:spPr>
                </pic:pic>
              </a:graphicData>
            </a:graphic>
          </wp:inline>
        </w:drawing>
      </w:r>
    </w:p>
    <w:p>
      <w:pPr>
        <w:numPr>
          <w:ilvl w:val="0"/>
          <w:numId w:val="3"/>
        </w:numPr>
        <w:ind w:left="420" w:leftChars="200" w:firstLine="420" w:firstLineChars="0"/>
        <w:jc w:val="left"/>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代理管理：用于运营商和一、二级创建、调整和查看自己各个下线代理和玩家的信息；三级代理来查看己方的玩家信息。</w:t>
      </w:r>
    </w:p>
    <w:p>
      <w:pPr>
        <w:numPr>
          <w:ilvl w:val="1"/>
          <w:numId w:val="2"/>
        </w:numPr>
        <w:ind w:left="840" w:leftChars="0" w:firstLine="420" w:firstLineChars="0"/>
        <w:jc w:val="left"/>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代理审核：处理己方页面提交的{代理申请订单}的情况。</w:t>
      </w:r>
    </w:p>
    <w:p>
      <w:pPr>
        <w:numPr>
          <w:ilvl w:val="1"/>
          <w:numId w:val="2"/>
        </w:numPr>
        <w:ind w:left="840" w:leftChars="0" w:firstLine="420" w:firstLineChars="0"/>
        <w:jc w:val="left"/>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代理列表：</w:t>
      </w:r>
    </w:p>
    <w:p>
      <w:pPr>
        <w:numPr>
          <w:ilvl w:val="5"/>
          <w:numId w:val="2"/>
        </w:numPr>
        <w:ind w:left="2520" w:leftChars="0" w:hanging="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新增代理信息（运营商、一级代理、二级代理）</w:t>
      </w:r>
    </w:p>
    <w:p>
      <w:pPr>
        <w:numPr>
          <w:ilvl w:val="5"/>
          <w:numId w:val="2"/>
        </w:numPr>
        <w:ind w:left="2520" w:leftChars="0" w:hanging="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查看和修改己方下线代理信息；查看自己下线玩家信息（玩家信息修改权限只在运营商）。</w:t>
      </w:r>
    </w:p>
    <w:p>
      <w:pPr>
        <w:numPr>
          <w:ilvl w:val="1"/>
          <w:numId w:val="2"/>
        </w:numPr>
        <w:ind w:left="840" w:leftChars="0" w:firstLine="420" w:firstLineChars="0"/>
        <w:jc w:val="left"/>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代理审核历史：查看代理审核的历史信息。</w:t>
      </w:r>
    </w:p>
    <w:p>
      <w:pPr>
        <w:numPr>
          <w:ilvl w:val="1"/>
          <w:numId w:val="2"/>
        </w:numPr>
        <w:ind w:left="840" w:leftChars="0" w:firstLine="420" w:firstLineChars="0"/>
        <w:jc w:val="left"/>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代理域名：分配和管理代理对应的独立域名和自动关联域名（</w:t>
      </w:r>
      <w:r>
        <w:rPr>
          <w:rFonts w:hint="eastAsia" w:ascii="微软雅黑" w:hAnsi="微软雅黑" w:eastAsia="微软雅黑" w:cs="微软雅黑"/>
          <w:b w:val="0"/>
          <w:i w:val="0"/>
          <w:caps w:val="0"/>
          <w:color w:val="FF0000"/>
          <w:spacing w:val="0"/>
          <w:sz w:val="16"/>
          <w:szCs w:val="16"/>
          <w:shd w:val="clear" w:fill="F9F9F9"/>
        </w:rPr>
        <w:t>http://ly6166.com/?code=20146</w:t>
      </w:r>
      <w:r>
        <w:rPr>
          <w:rFonts w:hint="eastAsia" w:ascii="微软雅黑" w:hAnsi="微软雅黑" w:eastAsia="微软雅黑" w:cs="微软雅黑"/>
          <w:b w:val="0"/>
          <w:i w:val="0"/>
          <w:caps w:val="0"/>
          <w:color w:val="FF0000"/>
          <w:spacing w:val="0"/>
          <w:sz w:val="16"/>
          <w:szCs w:val="16"/>
          <w:shd w:val="clear" w:fill="F9F9F9"/>
          <w:lang w:eastAsia="zh-CN"/>
        </w:rPr>
        <w:t>：</w:t>
      </w:r>
      <w:r>
        <w:rPr>
          <w:rFonts w:hint="eastAsia" w:ascii="微软雅黑" w:hAnsi="微软雅黑" w:eastAsia="微软雅黑" w:cs="微软雅黑"/>
          <w:b w:val="0"/>
          <w:i w:val="0"/>
          <w:caps w:val="0"/>
          <w:color w:val="FF0000"/>
          <w:spacing w:val="0"/>
          <w:sz w:val="16"/>
          <w:szCs w:val="16"/>
          <w:shd w:val="clear" w:fill="F9F9F9"/>
          <w:lang w:val="en-US" w:eastAsia="zh-CN"/>
        </w:rPr>
        <w:t>运营商域名+代理代码。</w:t>
      </w:r>
      <w:r>
        <w:rPr>
          <w:rFonts w:hint="eastAsia" w:ascii="微软雅黑" w:hAnsi="微软雅黑" w:eastAsia="微软雅黑" w:cs="微软雅黑"/>
          <w:sz w:val="30"/>
          <w:szCs w:val="30"/>
          <w:lang w:val="en-US" w:eastAsia="zh-CN"/>
        </w:rPr>
        <w:t>）</w:t>
      </w:r>
    </w:p>
    <w:p>
      <w:pPr>
        <w:numPr>
          <w:ilvl w:val="0"/>
          <w:numId w:val="3"/>
        </w:numPr>
        <w:ind w:left="420" w:leftChars="200" w:firstLine="420" w:firstLineChars="0"/>
        <w:jc w:val="left"/>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代理资金：用于创建运营商、各级代理之间的资金结算。</w:t>
      </w:r>
    </w:p>
    <w:p>
      <w:pPr>
        <w:numPr>
          <w:ilvl w:val="1"/>
          <w:numId w:val="3"/>
        </w:numPr>
        <w:ind w:left="840" w:leftChars="0" w:firstLine="420" w:firstLineChars="0"/>
        <w:jc w:val="left"/>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本期代理结算：根据上个月玩家状况，创建、调整、审核各级代理的{代理结算订单}。</w:t>
      </w:r>
    </w:p>
    <w:p>
      <w:pPr>
        <w:numPr>
          <w:ilvl w:val="1"/>
          <w:numId w:val="3"/>
        </w:numPr>
        <w:ind w:left="840" w:leftChars="0" w:firstLine="420" w:firstLineChars="0"/>
        <w:jc w:val="left"/>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代理结算历史：查看已经完成的{代理结算订单}信息。</w:t>
      </w:r>
    </w:p>
    <w:p>
      <w:pPr>
        <w:numPr>
          <w:ilvl w:val="1"/>
          <w:numId w:val="3"/>
        </w:numPr>
        <w:ind w:left="840" w:leftChars="0" w:firstLine="420" w:firstLineChars="0"/>
        <w:jc w:val="left"/>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代理取款审核：{代理取款订单}创建（订单创建在代理后台，不在运营商后台）。运营商和各级代理对下线提交的{代理取款订单}的审核。</w:t>
      </w:r>
    </w:p>
    <w:p>
      <w:pPr>
        <w:numPr>
          <w:ilvl w:val="1"/>
          <w:numId w:val="3"/>
        </w:numPr>
        <w:ind w:left="840" w:leftChars="0" w:firstLine="420" w:firstLineChars="0"/>
        <w:jc w:val="left"/>
        <w:rPr>
          <w:rFonts w:hint="eastAsia" w:ascii="微软雅黑" w:hAnsi="微软雅黑" w:eastAsia="微软雅黑" w:cs="微软雅黑"/>
          <w:sz w:val="30"/>
          <w:szCs w:val="30"/>
          <w:lang w:val="en-US" w:eastAsia="zh-CN"/>
        </w:rPr>
      </w:pPr>
      <w:r>
        <w:rPr>
          <w:rFonts w:hint="eastAsia" w:ascii="微软雅黑" w:hAnsi="微软雅黑" w:eastAsia="微软雅黑" w:cs="微软雅黑"/>
          <w:sz w:val="30"/>
          <w:szCs w:val="30"/>
          <w:lang w:val="en-US" w:eastAsia="zh-CN"/>
        </w:rPr>
        <w:t>代理取款历史：{代理取款订单}的历史记录查看。</w:t>
      </w:r>
    </w:p>
    <w:p>
      <w:pPr>
        <w:numPr>
          <w:ilvl w:val="0"/>
          <w:numId w:val="1"/>
        </w:numPr>
        <w:ind w:left="0" w:leftChars="0" w:firstLine="640" w:firstLineChars="200"/>
        <w:jc w:val="left"/>
        <w:outlineLvl w:val="0"/>
        <w:rPr>
          <w:rFonts w:hint="eastAsia" w:ascii="微软雅黑" w:hAnsi="微软雅黑" w:eastAsia="微软雅黑" w:cs="微软雅黑"/>
          <w:b/>
          <w:bCs/>
          <w:sz w:val="32"/>
          <w:szCs w:val="32"/>
          <w:lang w:val="en-US" w:eastAsia="zh-CN"/>
        </w:rPr>
      </w:pPr>
      <w:r>
        <w:rPr>
          <w:rFonts w:hint="eastAsia" w:ascii="微软雅黑" w:hAnsi="微软雅黑" w:eastAsia="微软雅黑" w:cs="微软雅黑"/>
          <w:b/>
          <w:bCs/>
          <w:sz w:val="32"/>
          <w:szCs w:val="32"/>
          <w:lang w:val="en-US" w:eastAsia="zh-CN"/>
        </w:rPr>
        <w:t>代理相关数据结构：</w:t>
      </w:r>
    </w:p>
    <w:p>
      <w:pPr>
        <w:numPr>
          <w:ilvl w:val="0"/>
          <w:numId w:val="4"/>
        </w:numPr>
        <w:ind w:left="420" w:leftChars="200" w:firstLine="420" w:firstLineChars="0"/>
        <w:jc w:val="left"/>
        <w:outlineLvl w:val="1"/>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代理相关数据-运营商{数据管理.xlsx-运营商相关}：</w:t>
      </w:r>
    </w:p>
    <w:p>
      <w:pPr>
        <w:numPr>
          <w:ilvl w:val="1"/>
          <w:numId w:val="4"/>
        </w:numPr>
        <w:ind w:left="840" w:leftChars="0" w:firstLine="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代理注册登录设置：代理的相关注册、登录等基础设置{数据路径：运营商系统参数设置}</w:t>
      </w:r>
    </w:p>
    <w:p>
      <w:pPr>
        <w:numPr>
          <w:ilvl w:val="0"/>
          <w:numId w:val="4"/>
        </w:numPr>
        <w:ind w:left="420" w:leftChars="200" w:firstLine="420" w:firstLineChars="0"/>
        <w:jc w:val="left"/>
        <w:outlineLvl w:val="1"/>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代理相关数据-代理{数据管理.xlsx-代理相关}：</w:t>
      </w:r>
    </w:p>
    <w:p>
      <w:pPr>
        <w:numPr>
          <w:ilvl w:val="1"/>
          <w:numId w:val="4"/>
        </w:numPr>
        <w:ind w:left="840" w:leftChars="0" w:firstLine="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注册信息：代理自身的基础信息（注册信息。）</w:t>
      </w:r>
    </w:p>
    <w:p>
      <w:pPr>
        <w:numPr>
          <w:ilvl w:val="5"/>
          <w:numId w:val="2"/>
        </w:numPr>
        <w:ind w:left="2520" w:leftChars="0" w:hanging="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{一级上线代理ID}、{二级上线代理ID}：该ID主要用来进行代理结构的查询。如在查询代理A（等级为一级代理）的下线代理时可通过所有代理的一级代理为A时查询。</w:t>
      </w:r>
    </w:p>
    <w:p>
      <w:pPr>
        <w:numPr>
          <w:ilvl w:val="5"/>
          <w:numId w:val="2"/>
        </w:numPr>
        <w:ind w:left="2520" w:leftChars="0" w:hanging="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{代理玩家默认层级组}：该代理的玩家祖册默认的玩家层级组。</w:t>
      </w:r>
    </w:p>
    <w:p>
      <w:pPr>
        <w:numPr>
          <w:ilvl w:val="5"/>
          <w:numId w:val="2"/>
        </w:numPr>
        <w:ind w:left="2520" w:leftChars="0" w:hanging="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{主账户余额}：该代理的结算金额的统计，可能为负。备注：代理账号无法参加游戏，所有的金额来源只有代理结算和取款两条途径。</w:t>
      </w:r>
    </w:p>
    <w:p>
      <w:pPr>
        <w:numPr>
          <w:ilvl w:val="5"/>
          <w:numId w:val="2"/>
        </w:numPr>
        <w:ind w:left="2520" w:leftChars="0" w:hanging="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{代理等级}：预留数据（暂时无功能规划。）</w:t>
      </w:r>
    </w:p>
    <w:p>
      <w:pPr>
        <w:numPr>
          <w:ilvl w:val="1"/>
          <w:numId w:val="4"/>
        </w:numPr>
        <w:ind w:left="840" w:leftChars="0" w:firstLine="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代理结算相关：代理结算相关的信息。</w:t>
      </w:r>
    </w:p>
    <w:p>
      <w:pPr>
        <w:numPr>
          <w:ilvl w:val="5"/>
          <w:numId w:val="5"/>
        </w:numPr>
        <w:ind w:left="2520" w:leftChars="0" w:hanging="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上次结算月：代理结算每个月结算一次，需要记录每个代理上次结算的结算月记录，每次进行结算的时候都要验证上次的月结是否完成。</w:t>
      </w:r>
    </w:p>
    <w:p>
      <w:pPr>
        <w:numPr>
          <w:ilvl w:val="5"/>
          <w:numId w:val="5"/>
        </w:numPr>
        <w:ind w:left="2520" w:leftChars="0" w:hanging="420" w:firstLineChars="0"/>
        <w:jc w:val="left"/>
        <w:rPr>
          <w:rFonts w:hint="eastAsia" w:ascii="微软雅黑" w:hAnsi="微软雅黑" w:eastAsia="微软雅黑" w:cs="微软雅黑"/>
          <w:color w:val="FF0000"/>
          <w:sz w:val="32"/>
          <w:szCs w:val="32"/>
          <w:lang w:val="en-US" w:eastAsia="zh-CN"/>
        </w:rPr>
      </w:pPr>
      <w:r>
        <w:rPr>
          <w:rFonts w:hint="eastAsia" w:ascii="微软雅黑" w:hAnsi="微软雅黑" w:eastAsia="微软雅黑" w:cs="微软雅黑"/>
          <w:color w:val="FF0000"/>
          <w:sz w:val="24"/>
          <w:szCs w:val="24"/>
          <w:lang w:val="en-US" w:eastAsia="zh-CN"/>
        </w:rPr>
        <w:t>待定：如果出现人工失误，代理月结没有完成而玩家游戏数据已经被清理的情况</w:t>
      </w:r>
      <w:r>
        <w:rPr>
          <w:rFonts w:hint="eastAsia" w:ascii="微软雅黑" w:hAnsi="微软雅黑" w:eastAsia="微软雅黑" w:cs="微软雅黑"/>
          <w:color w:val="FF0000"/>
          <w:sz w:val="32"/>
          <w:szCs w:val="32"/>
          <w:lang w:val="en-US" w:eastAsia="zh-CN"/>
        </w:rPr>
        <w:t>。</w:t>
      </w:r>
    </w:p>
    <w:p>
      <w:pPr>
        <w:numPr>
          <w:ilvl w:val="1"/>
          <w:numId w:val="4"/>
        </w:numPr>
        <w:ind w:left="840" w:leftChars="0" w:firstLine="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代理结算分摊设定：设定在结算的时候代理下线玩家的结算条件和相关成本的承担比例。</w:t>
      </w:r>
    </w:p>
    <w:p>
      <w:pPr>
        <w:numPr>
          <w:ilvl w:val="0"/>
          <w:numId w:val="4"/>
        </w:numPr>
        <w:ind w:left="420" w:leftChars="200" w:firstLine="420" w:firstLineChars="0"/>
        <w:jc w:val="left"/>
        <w:outlineLvl w:val="1"/>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代理相关数据-玩家：</w:t>
      </w:r>
    </w:p>
    <w:p>
      <w:pPr>
        <w:numPr>
          <w:ilvl w:val="1"/>
          <w:numId w:val="4"/>
        </w:numPr>
        <w:ind w:left="840" w:leftChars="0" w:firstLine="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{玩家所属一级代理}、{玩家所属二级代理}、{玩家所属三级代理}：同时记录玩家各个等级代理的归属ID可以在代理月结时更方便有效的进行结算。（具体结算方式见下一节。）</w:t>
      </w:r>
    </w:p>
    <w:p>
      <w:pPr>
        <w:numPr>
          <w:ilvl w:val="0"/>
          <w:numId w:val="4"/>
        </w:numPr>
        <w:ind w:left="420" w:leftChars="200" w:firstLine="420" w:firstLineChars="0"/>
        <w:jc w:val="left"/>
        <w:outlineLvl w:val="1"/>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{抽佣设置}和{抽水设置}：</w:t>
      </w:r>
    </w:p>
    <w:p>
      <w:pPr>
        <w:numPr>
          <w:ilvl w:val="1"/>
          <w:numId w:val="4"/>
        </w:numPr>
        <w:ind w:left="840" w:leftChars="0" w:firstLine="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抽佣和抽水可以同时生效。</w:t>
      </w:r>
    </w:p>
    <w:p>
      <w:pPr>
        <w:numPr>
          <w:ilvl w:val="1"/>
          <w:numId w:val="4"/>
        </w:numPr>
        <w:ind w:left="840" w:leftChars="0" w:firstLine="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抽佣和抽水的比例和浮动比例同时填写时以浮动比例为准。</w:t>
      </w:r>
    </w:p>
    <w:p>
      <w:pPr>
        <w:numPr>
          <w:ilvl w:val="1"/>
          <w:numId w:val="4"/>
        </w:numPr>
        <w:ind w:left="840" w:leftChars="0" w:firstLine="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下线的比例（比例和浮动比例最大值）必须低于上线的比例设定。</w:t>
      </w:r>
    </w:p>
    <w:p>
      <w:pPr>
        <w:numPr>
          <w:ilvl w:val="0"/>
          <w:numId w:val="4"/>
        </w:numPr>
        <w:ind w:left="420" w:leftChars="200" w:firstLine="420" w:firstLineChars="0"/>
        <w:jc w:val="left"/>
        <w:outlineLvl w:val="1"/>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代理月结：</w:t>
      </w:r>
    </w:p>
    <w:p>
      <w:pPr>
        <w:numPr>
          <w:ilvl w:val="1"/>
          <w:numId w:val="4"/>
        </w:numPr>
        <w:ind w:left="840" w:leftChars="0" w:firstLine="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有效会员数量}：在【代理新增】-【结算分摊】-{总佣金有效会员}中设定。在代理月结中需要计算本月产生佣金结算的会员（有效会员-有效会员定义见名词解释）的数量。低于此数量需要在{代理结算订单}中提示，但是继续结算。</w:t>
      </w:r>
    </w:p>
    <w:p>
      <w:pPr>
        <w:numPr>
          <w:ilvl w:val="0"/>
          <w:numId w:val="1"/>
        </w:numPr>
        <w:ind w:left="0" w:leftChars="0" w:firstLine="640" w:firstLineChars="200"/>
        <w:jc w:val="left"/>
        <w:outlineLvl w:val="0"/>
        <w:rPr>
          <w:rFonts w:hint="eastAsia" w:ascii="微软雅黑" w:hAnsi="微软雅黑" w:eastAsia="微软雅黑" w:cs="微软雅黑"/>
          <w:b/>
          <w:bCs/>
          <w:sz w:val="32"/>
          <w:szCs w:val="32"/>
          <w:lang w:val="en-US" w:eastAsia="zh-CN"/>
        </w:rPr>
      </w:pPr>
      <w:r>
        <w:rPr>
          <w:rFonts w:hint="eastAsia" w:ascii="微软雅黑" w:hAnsi="微软雅黑" w:eastAsia="微软雅黑" w:cs="微软雅黑"/>
          <w:b/>
          <w:bCs/>
          <w:sz w:val="32"/>
          <w:szCs w:val="32"/>
          <w:lang w:val="en-US" w:eastAsia="zh-CN"/>
        </w:rPr>
        <w:t>代理佣金结算：</w:t>
      </w:r>
    </w:p>
    <w:p>
      <w:pPr>
        <w:numPr>
          <w:ilvl w:val="0"/>
          <w:numId w:val="6"/>
        </w:numPr>
        <w:ind w:left="420" w:leftChars="200" w:firstLine="420" w:firstLineChars="0"/>
        <w:jc w:val="left"/>
        <w:outlineLvl w:val="1"/>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数据准备：</w:t>
      </w:r>
    </w:p>
    <w:p>
      <w:pPr>
        <w:numPr>
          <w:numId w:val="0"/>
        </w:numPr>
        <w:ind w:left="1260" w:left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准备以下虚拟数据。以下虚拟数据包含代理月结相关的所有简化数据。</w:t>
      </w:r>
    </w:p>
    <w:p>
      <w:pPr>
        <w:numPr>
          <w:ilvl w:val="1"/>
          <w:numId w:val="6"/>
        </w:numPr>
        <w:ind w:left="840" w:leftChars="0" w:firstLine="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代理结构。</w:t>
      </w:r>
    </w:p>
    <w:p>
      <w:pPr>
        <w:numPr>
          <w:ilvl w:val="0"/>
          <w:numId w:val="0"/>
        </w:numPr>
        <w:ind w:left="420" w:leftChars="200" w:firstLine="420" w:firstLineChars="0"/>
        <w:jc w:val="left"/>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4310" cy="3107690"/>
            <wp:effectExtent l="0" t="0" r="25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274310" cy="3107690"/>
                    </a:xfrm>
                    <a:prstGeom prst="rect">
                      <a:avLst/>
                    </a:prstGeom>
                    <a:noFill/>
                    <a:ln w="9525">
                      <a:noFill/>
                    </a:ln>
                  </pic:spPr>
                </pic:pic>
              </a:graphicData>
            </a:graphic>
          </wp:inline>
        </w:drawing>
      </w:r>
    </w:p>
    <w:p>
      <w:pPr>
        <w:numPr>
          <w:ilvl w:val="1"/>
          <w:numId w:val="6"/>
        </w:numPr>
        <w:ind w:left="840" w:leftChars="0" w:firstLine="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玩家游戏统计数据（2017年9月数据）：</w:t>
      </w:r>
      <w:r>
        <w:rPr>
          <w:rFonts w:hint="eastAsia" w:ascii="微软雅黑" w:hAnsi="微软雅黑" w:eastAsia="微软雅黑" w:cs="微软雅黑"/>
        </w:rPr>
        <w:drawing>
          <wp:inline distT="0" distB="0" distL="114300" distR="114300">
            <wp:extent cx="5273675" cy="1664335"/>
            <wp:effectExtent l="0" t="0" r="3175"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3675" cy="1664335"/>
                    </a:xfrm>
                    <a:prstGeom prst="rect">
                      <a:avLst/>
                    </a:prstGeom>
                    <a:noFill/>
                    <a:ln w="9525">
                      <a:noFill/>
                    </a:ln>
                  </pic:spPr>
                </pic:pic>
              </a:graphicData>
            </a:graphic>
          </wp:inline>
        </w:drawing>
      </w:r>
    </w:p>
    <w:p>
      <w:pPr>
        <w:numPr>
          <w:ilvl w:val="5"/>
          <w:numId w:val="7"/>
        </w:numPr>
        <w:ind w:left="2520" w:leftChars="0" w:hanging="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数据为负表示玩家在该游戏中赢了对应的金额。</w:t>
      </w:r>
    </w:p>
    <w:p>
      <w:pPr>
        <w:numPr>
          <w:ilvl w:val="1"/>
          <w:numId w:val="6"/>
        </w:numPr>
        <w:ind w:left="840" w:leftChars="0" w:firstLine="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玩家成本数据：</w:t>
      </w:r>
    </w:p>
    <w:p>
      <w:pPr>
        <w:numPr>
          <w:ilvl w:val="0"/>
          <w:numId w:val="0"/>
        </w:numPr>
        <w:tabs>
          <w:tab w:val="left" w:pos="840"/>
        </w:tabs>
        <w:ind w:left="840" w:leftChars="0"/>
        <w:jc w:val="left"/>
        <w:rPr>
          <w:rFonts w:hint="eastAsia" w:ascii="微软雅黑" w:hAnsi="微软雅黑" w:eastAsia="微软雅黑" w:cs="微软雅黑"/>
          <w:sz w:val="32"/>
          <w:szCs w:val="32"/>
          <w:lang w:val="en-US" w:eastAsia="zh-CN"/>
        </w:rPr>
      </w:pPr>
      <w:r>
        <w:drawing>
          <wp:inline distT="0" distB="0" distL="114300" distR="114300">
            <wp:extent cx="4742815" cy="31997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4742815" cy="3199765"/>
                    </a:xfrm>
                    <a:prstGeom prst="rect">
                      <a:avLst/>
                    </a:prstGeom>
                    <a:noFill/>
                    <a:ln w="9525">
                      <a:noFill/>
                    </a:ln>
                  </pic:spPr>
                </pic:pic>
              </a:graphicData>
            </a:graphic>
          </wp:inline>
        </w:drawing>
      </w:r>
    </w:p>
    <w:p>
      <w:pPr>
        <w:numPr>
          <w:ilvl w:val="1"/>
          <w:numId w:val="6"/>
        </w:numPr>
        <w:ind w:left="840" w:leftChars="0" w:firstLine="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代理配置数据-结算分摊：</w:t>
      </w:r>
    </w:p>
    <w:p>
      <w:pPr>
        <w:numPr>
          <w:ilvl w:val="0"/>
          <w:numId w:val="0"/>
        </w:numPr>
        <w:ind w:left="2100" w:leftChars="0"/>
        <w:jc w:val="left"/>
        <w:rPr>
          <w:rFonts w:hint="eastAsia" w:ascii="微软雅黑" w:hAnsi="微软雅黑" w:eastAsia="微软雅黑" w:cs="微软雅黑"/>
          <w:sz w:val="32"/>
          <w:szCs w:val="32"/>
          <w:lang w:val="en-US" w:eastAsia="zh-CN"/>
        </w:rPr>
      </w:pPr>
      <w:r>
        <w:drawing>
          <wp:inline distT="0" distB="0" distL="114300" distR="114300">
            <wp:extent cx="5024120" cy="2564765"/>
            <wp:effectExtent l="0" t="0" r="508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024120" cy="2564765"/>
                    </a:xfrm>
                    <a:prstGeom prst="rect">
                      <a:avLst/>
                    </a:prstGeom>
                    <a:noFill/>
                    <a:ln w="9525">
                      <a:noFill/>
                    </a:ln>
                  </pic:spPr>
                </pic:pic>
              </a:graphicData>
            </a:graphic>
          </wp:inline>
        </w:drawing>
      </w:r>
    </w:p>
    <w:p>
      <w:pPr>
        <w:numPr>
          <w:ilvl w:val="1"/>
          <w:numId w:val="6"/>
        </w:numPr>
        <w:ind w:left="840" w:leftChars="0" w:firstLine="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代理配置数据-返佣、返水：</w:t>
      </w:r>
    </w:p>
    <w:p>
      <w:pPr>
        <w:numPr>
          <w:ilvl w:val="0"/>
          <w:numId w:val="0"/>
        </w:numPr>
        <w:ind w:left="2100" w:leftChars="0"/>
        <w:jc w:val="left"/>
      </w:pPr>
      <w:r>
        <w:drawing>
          <wp:inline distT="0" distB="0" distL="114300" distR="114300">
            <wp:extent cx="4934585" cy="1836420"/>
            <wp:effectExtent l="0" t="0" r="1841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4934585" cy="1836420"/>
                    </a:xfrm>
                    <a:prstGeom prst="rect">
                      <a:avLst/>
                    </a:prstGeom>
                    <a:noFill/>
                    <a:ln w="9525">
                      <a:noFill/>
                    </a:ln>
                  </pic:spPr>
                </pic:pic>
              </a:graphicData>
            </a:graphic>
          </wp:inline>
        </w:drawing>
      </w:r>
    </w:p>
    <w:p>
      <w:pPr>
        <w:numPr>
          <w:ilvl w:val="0"/>
          <w:numId w:val="0"/>
        </w:numPr>
        <w:ind w:left="2100" w:leftChars="0"/>
        <w:jc w:val="center"/>
        <w:rPr>
          <w:rFonts w:hint="eastAsia"/>
          <w:lang w:val="en-US" w:eastAsia="zh-CN"/>
        </w:rPr>
      </w:pPr>
      <w:r>
        <w:drawing>
          <wp:inline distT="0" distB="0" distL="114300" distR="114300">
            <wp:extent cx="4068445" cy="8947150"/>
            <wp:effectExtent l="0" t="0" r="825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4068445" cy="8947150"/>
                    </a:xfrm>
                    <a:prstGeom prst="rect">
                      <a:avLst/>
                    </a:prstGeom>
                    <a:noFill/>
                    <a:ln w="9525">
                      <a:noFill/>
                    </a:ln>
                  </pic:spPr>
                </pic:pic>
              </a:graphicData>
            </a:graphic>
          </wp:inline>
        </w:drawing>
      </w:r>
    </w:p>
    <w:p>
      <w:pPr>
        <w:numPr>
          <w:ilvl w:val="1"/>
          <w:numId w:val="6"/>
        </w:numPr>
        <w:ind w:left="840" w:leftChars="0" w:firstLine="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代理数据-累计上月、手工调整：设置均为0.</w:t>
      </w:r>
    </w:p>
    <w:p>
      <w:pPr>
        <w:numPr>
          <w:ilvl w:val="0"/>
          <w:numId w:val="6"/>
        </w:numPr>
        <w:ind w:left="420" w:leftChars="200" w:firstLine="420" w:firstLineChars="0"/>
        <w:jc w:val="left"/>
        <w:outlineLvl w:val="1"/>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月结单计算：</w:t>
      </w:r>
    </w:p>
    <w:p>
      <w:pPr>
        <w:numPr>
          <w:ilvl w:val="1"/>
          <w:numId w:val="6"/>
        </w:numPr>
        <w:ind w:left="840" w:leftChars="0" w:firstLine="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玩家权益归属：</w:t>
      </w:r>
      <w:r>
        <w:drawing>
          <wp:inline distT="0" distB="0" distL="114300" distR="114300">
            <wp:extent cx="3961765" cy="325691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3961765" cy="3256915"/>
                    </a:xfrm>
                    <a:prstGeom prst="rect">
                      <a:avLst/>
                    </a:prstGeom>
                    <a:noFill/>
                    <a:ln w="9525">
                      <a:noFill/>
                    </a:ln>
                  </pic:spPr>
                </pic:pic>
              </a:graphicData>
            </a:graphic>
          </wp:inline>
        </w:drawing>
      </w:r>
    </w:p>
    <w:p>
      <w:pPr>
        <w:numPr>
          <w:ilvl w:val="5"/>
          <w:numId w:val="8"/>
        </w:numPr>
        <w:ind w:left="2520" w:leftChars="0" w:hanging="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越底层的玩家归属的层次就越多。</w:t>
      </w:r>
    </w:p>
    <w:p>
      <w:pPr>
        <w:numPr>
          <w:ilvl w:val="5"/>
          <w:numId w:val="8"/>
        </w:numPr>
        <w:ind w:left="2520" w:leftChars="0" w:hanging="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进行月结单计算时以代理为单位进行计算而不是以玩家为单位多次计算。例：在代理月结单中，村长、Kedo、13三个代理的计算中都会用到玩家：31的数据。而玩家：21的数据只会在村长、Kedo月结时进行结算。</w:t>
      </w:r>
    </w:p>
    <w:p>
      <w:pPr>
        <w:numPr>
          <w:ilvl w:val="4"/>
          <w:numId w:val="8"/>
        </w:numPr>
        <w:tabs>
          <w:tab w:val="left" w:pos="2520"/>
          <w:tab w:val="clear" w:pos="2100"/>
        </w:tabs>
        <w:ind w:left="2100" w:leftChars="0" w:hanging="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月结单基本计算公式：</w:t>
      </w:r>
    </w:p>
    <w:p>
      <w:pPr>
        <w:numPr>
          <w:ilvl w:val="5"/>
          <w:numId w:val="8"/>
        </w:numPr>
        <w:ind w:left="2520" w:leftChars="0" w:hanging="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代理本期佣金=游戏平台佣金-成本分摊+手工调整+累计上月；累计上月的金额为上个月已结算但是没有入账的金额：即上个月的结转下月。</w:t>
      </w:r>
    </w:p>
    <w:p>
      <w:pPr>
        <w:numPr>
          <w:ilvl w:val="5"/>
          <w:numId w:val="8"/>
        </w:numPr>
        <w:ind w:left="2520" w:leftChars="0" w:hanging="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代理实际发放=本期佣金-结转下月；</w:t>
      </w:r>
    </w:p>
    <w:p>
      <w:pPr>
        <w:numPr>
          <w:ilvl w:val="4"/>
          <w:numId w:val="8"/>
        </w:numPr>
        <w:tabs>
          <w:tab w:val="left" w:pos="2520"/>
          <w:tab w:val="clear" w:pos="2100"/>
        </w:tabs>
        <w:ind w:left="2100" w:leftChars="0" w:hanging="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代理佣金计算：村长对应的权益归属玩家为：11、21、31；Kedo对应的权益归属玩家为：21、31；13对应的权益归属玩家为：31；</w:t>
      </w:r>
    </w:p>
    <w:p>
      <w:pPr>
        <w:numPr>
          <w:ilvl w:val="5"/>
          <w:numId w:val="8"/>
        </w:numPr>
        <w:ind w:left="2520" w:leftChars="0" w:hanging="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游戏数据统计：</w:t>
      </w:r>
      <w:r>
        <w:drawing>
          <wp:inline distT="0" distB="0" distL="114300" distR="114300">
            <wp:extent cx="4660265" cy="2183765"/>
            <wp:effectExtent l="0" t="0" r="698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4660265" cy="2183765"/>
                    </a:xfrm>
                    <a:prstGeom prst="rect">
                      <a:avLst/>
                    </a:prstGeom>
                    <a:noFill/>
                    <a:ln w="9525">
                      <a:noFill/>
                    </a:ln>
                  </pic:spPr>
                </pic:pic>
              </a:graphicData>
            </a:graphic>
          </wp:inline>
        </w:drawing>
      </w:r>
    </w:p>
    <w:p>
      <w:pPr>
        <w:numPr>
          <w:ilvl w:val="5"/>
          <w:numId w:val="8"/>
        </w:numPr>
        <w:ind w:left="2520" w:leftChars="0" w:hanging="420" w:firstLineChars="0"/>
        <w:jc w:val="left"/>
        <w:rPr>
          <w:rFonts w:hint="eastAsia" w:ascii="微软雅黑" w:hAnsi="微软雅黑" w:eastAsia="微软雅黑" w:cs="微软雅黑"/>
          <w:color w:val="FF0000"/>
          <w:sz w:val="32"/>
          <w:szCs w:val="32"/>
          <w:lang w:val="en-US" w:eastAsia="zh-CN"/>
        </w:rPr>
      </w:pPr>
      <w:r>
        <w:rPr>
          <w:rFonts w:hint="eastAsia" w:ascii="微软雅黑" w:hAnsi="微软雅黑" w:eastAsia="微软雅黑" w:cs="微软雅黑"/>
          <w:sz w:val="32"/>
          <w:szCs w:val="32"/>
          <w:lang w:val="en-US" w:eastAsia="zh-CN"/>
        </w:rPr>
        <w:t>输赢及打码量对应佣金比例：</w:t>
      </w:r>
    </w:p>
    <w:p>
      <w:pPr>
        <w:numPr>
          <w:ilvl w:val="0"/>
          <w:numId w:val="0"/>
        </w:numPr>
        <w:ind w:left="2100" w:leftChars="0" w:firstLine="420" w:firstLineChars="0"/>
        <w:jc w:val="left"/>
        <w:rPr>
          <w:rFonts w:hint="eastAsia" w:ascii="微软雅黑" w:hAnsi="微软雅黑" w:eastAsia="微软雅黑" w:cs="微软雅黑"/>
          <w:color w:val="FF0000"/>
          <w:sz w:val="32"/>
          <w:szCs w:val="32"/>
          <w:lang w:val="en-US" w:eastAsia="zh-CN"/>
        </w:rPr>
      </w:pPr>
      <w:r>
        <w:rPr>
          <w:rFonts w:hint="eastAsia" w:ascii="微软雅黑" w:hAnsi="微软雅黑" w:eastAsia="微软雅黑" w:cs="微软雅黑"/>
          <w:color w:val="FF0000"/>
          <w:sz w:val="32"/>
          <w:szCs w:val="32"/>
          <w:lang w:val="en-US" w:eastAsia="zh-CN"/>
        </w:rPr>
        <w:t>注意：玩家的输赢要转换为绝对值来对应抽佣和抽水的比例换算。</w:t>
      </w:r>
      <w:r>
        <w:rPr>
          <w:rFonts w:hint="eastAsia" w:ascii="微软雅黑" w:hAnsi="微软雅黑" w:eastAsia="微软雅黑" w:cs="微软雅黑"/>
          <w:color w:val="auto"/>
          <w:sz w:val="32"/>
          <w:szCs w:val="32"/>
          <w:lang w:val="en-US" w:eastAsia="zh-CN"/>
        </w:rPr>
        <w:t>如玩家31的抽佣比例配置为</w:t>
      </w:r>
      <w:r>
        <w:drawing>
          <wp:inline distT="0" distB="0" distL="114300" distR="114300">
            <wp:extent cx="4533265" cy="3304540"/>
            <wp:effectExtent l="0" t="0" r="635"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4533265" cy="3304540"/>
                    </a:xfrm>
                    <a:prstGeom prst="rect">
                      <a:avLst/>
                    </a:prstGeom>
                    <a:noFill/>
                    <a:ln w="9525">
                      <a:noFill/>
                    </a:ln>
                  </pic:spPr>
                </pic:pic>
              </a:graphicData>
            </a:graphic>
          </wp:inline>
        </w:drawing>
      </w:r>
      <w:r>
        <w:rPr>
          <w:rFonts w:hint="eastAsia" w:ascii="微软雅黑" w:hAnsi="微软雅黑" w:eastAsia="微软雅黑" w:cs="微软雅黑"/>
          <w:sz w:val="32"/>
          <w:szCs w:val="32"/>
          <w:lang w:val="en-US" w:eastAsia="zh-CN"/>
        </w:rPr>
        <w:t>玩家在游戏1中输了10000，对应代理抽佣比例为15%即佣金为：1500，同时玩家在游戏3中赢了30000，对应的抽佣比例为25%，代理的佣金为-7500。</w:t>
      </w:r>
    </w:p>
    <w:p>
      <w:pPr>
        <w:numPr>
          <w:ilvl w:val="0"/>
          <w:numId w:val="0"/>
        </w:numPr>
        <w:ind w:left="2100" w:leftChars="0"/>
        <w:jc w:val="left"/>
        <w:rPr>
          <w:rFonts w:hint="eastAsia" w:ascii="微软雅黑" w:hAnsi="微软雅黑" w:eastAsia="微软雅黑" w:cs="微软雅黑"/>
          <w:color w:val="FF0000"/>
          <w:sz w:val="32"/>
          <w:szCs w:val="32"/>
          <w:lang w:val="en-US" w:eastAsia="zh-CN"/>
        </w:rPr>
      </w:pPr>
      <w:r>
        <w:drawing>
          <wp:inline distT="0" distB="0" distL="114300" distR="114300">
            <wp:extent cx="4404360" cy="2940050"/>
            <wp:effectExtent l="0" t="0" r="1524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4404360" cy="2940050"/>
                    </a:xfrm>
                    <a:prstGeom prst="rect">
                      <a:avLst/>
                    </a:prstGeom>
                    <a:noFill/>
                    <a:ln w="9525">
                      <a:noFill/>
                    </a:ln>
                  </pic:spPr>
                </pic:pic>
              </a:graphicData>
            </a:graphic>
          </wp:inline>
        </w:drawing>
      </w:r>
    </w:p>
    <w:p>
      <w:pPr>
        <w:numPr>
          <w:ilvl w:val="5"/>
          <w:numId w:val="8"/>
        </w:numPr>
        <w:ind w:left="2520" w:leftChars="0" w:hanging="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代理佣金计算：统计各个游戏对应玩家的输赢即比例，最后计算出各个代理的佣金情况如下表：</w:t>
      </w:r>
      <w:r>
        <w:drawing>
          <wp:inline distT="0" distB="0" distL="114300" distR="114300">
            <wp:extent cx="4545965" cy="707390"/>
            <wp:effectExtent l="0" t="0" r="6985" b="165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4545965" cy="707390"/>
                    </a:xfrm>
                    <a:prstGeom prst="rect">
                      <a:avLst/>
                    </a:prstGeom>
                    <a:noFill/>
                    <a:ln w="9525">
                      <a:noFill/>
                    </a:ln>
                  </pic:spPr>
                </pic:pic>
              </a:graphicData>
            </a:graphic>
          </wp:inline>
        </w:drawing>
      </w:r>
    </w:p>
    <w:p>
      <w:pPr>
        <w:numPr>
          <w:ilvl w:val="0"/>
          <w:numId w:val="0"/>
        </w:numPr>
        <w:ind w:left="2100" w:leftChars="0" w:firstLine="420" w:firstLineChars="0"/>
        <w:jc w:val="left"/>
        <w:rPr>
          <w:rFonts w:hint="eastAsia" w:ascii="微软雅黑" w:hAnsi="微软雅黑" w:eastAsia="微软雅黑" w:cs="微软雅黑"/>
          <w:color w:val="FF0000"/>
          <w:sz w:val="32"/>
          <w:szCs w:val="32"/>
          <w:lang w:val="en-US" w:eastAsia="zh-CN"/>
        </w:rPr>
      </w:pPr>
      <w:r>
        <w:rPr>
          <w:rFonts w:hint="eastAsia" w:ascii="微软雅黑" w:hAnsi="微软雅黑" w:eastAsia="微软雅黑" w:cs="微软雅黑"/>
          <w:color w:val="FF0000"/>
          <w:sz w:val="32"/>
          <w:szCs w:val="32"/>
          <w:lang w:val="en-US" w:eastAsia="zh-CN"/>
        </w:rPr>
        <w:t>注意：佣金只存在于两个相邻代理层级的结算关系。如：Alex只与村长结算佣金12900；村长只与Kedo结算佣金10800；Kedo与13结算佣金-2500.</w:t>
      </w:r>
    </w:p>
    <w:p>
      <w:pPr>
        <w:numPr>
          <w:ilvl w:val="0"/>
          <w:numId w:val="0"/>
        </w:numPr>
        <w:ind w:left="2100" w:leftChars="0" w:firstLine="420" w:firstLineChars="0"/>
        <w:jc w:val="left"/>
        <w:rPr>
          <w:rFonts w:hint="eastAsia" w:ascii="微软雅黑" w:hAnsi="微软雅黑" w:eastAsia="微软雅黑" w:cs="微软雅黑"/>
          <w:color w:val="auto"/>
          <w:sz w:val="32"/>
          <w:szCs w:val="32"/>
          <w:lang w:val="en-US" w:eastAsia="zh-CN"/>
        </w:rPr>
      </w:pPr>
      <w:r>
        <w:rPr>
          <w:rFonts w:hint="eastAsia" w:ascii="微软雅黑" w:hAnsi="微软雅黑" w:eastAsia="微软雅黑" w:cs="微软雅黑"/>
          <w:color w:val="auto"/>
          <w:sz w:val="32"/>
          <w:szCs w:val="32"/>
          <w:lang w:val="en-US" w:eastAsia="zh-CN"/>
        </w:rPr>
        <w:t>在本次结算中各个代理获得的佣金分别为：村长4600；Kedo13300;13 -2500.</w:t>
      </w:r>
    </w:p>
    <w:p>
      <w:pPr>
        <w:numPr>
          <w:ilvl w:val="4"/>
          <w:numId w:val="8"/>
        </w:numPr>
        <w:tabs>
          <w:tab w:val="left" w:pos="2520"/>
          <w:tab w:val="clear" w:pos="2100"/>
        </w:tabs>
        <w:ind w:left="2100" w:leftChars="0" w:hanging="420" w:firstLineChars="0"/>
        <w:jc w:val="left"/>
        <w:rPr>
          <w:rFonts w:hint="eastAsia" w:ascii="微软雅黑" w:hAnsi="微软雅黑" w:eastAsia="微软雅黑" w:cs="微软雅黑"/>
          <w:color w:val="auto"/>
          <w:sz w:val="32"/>
          <w:szCs w:val="32"/>
          <w:lang w:val="en-US" w:eastAsia="zh-CN"/>
        </w:rPr>
      </w:pPr>
      <w:r>
        <w:rPr>
          <w:rFonts w:hint="eastAsia" w:ascii="微软雅黑" w:hAnsi="微软雅黑" w:eastAsia="微软雅黑" w:cs="微软雅黑"/>
          <w:color w:val="auto"/>
          <w:sz w:val="32"/>
          <w:szCs w:val="32"/>
          <w:lang w:val="en-US" w:eastAsia="zh-CN"/>
        </w:rPr>
        <w:t>代理成本计算：</w:t>
      </w:r>
    </w:p>
    <w:p>
      <w:pPr>
        <w:numPr>
          <w:ilvl w:val="5"/>
          <w:numId w:val="8"/>
        </w:numPr>
        <w:ind w:left="2520" w:leftChars="0" w:hanging="420" w:firstLineChars="0"/>
        <w:jc w:val="left"/>
        <w:rPr>
          <w:rFonts w:hint="eastAsia" w:ascii="微软雅黑" w:hAnsi="微软雅黑" w:eastAsia="微软雅黑" w:cs="微软雅黑"/>
          <w:color w:val="auto"/>
          <w:sz w:val="32"/>
          <w:szCs w:val="32"/>
          <w:lang w:val="en-US" w:eastAsia="zh-CN"/>
        </w:rPr>
      </w:pPr>
      <w:r>
        <w:rPr>
          <w:rFonts w:hint="eastAsia" w:ascii="微软雅黑" w:hAnsi="微软雅黑" w:eastAsia="微软雅黑" w:cs="微软雅黑"/>
          <w:color w:val="auto"/>
          <w:sz w:val="32"/>
          <w:szCs w:val="32"/>
          <w:lang w:val="en-US" w:eastAsia="zh-CN"/>
        </w:rPr>
        <w:t>与代理相关的三个玩家11、21和31对应的成本如下表：</w:t>
      </w:r>
      <w:r>
        <w:drawing>
          <wp:inline distT="0" distB="0" distL="114300" distR="114300">
            <wp:extent cx="4695190" cy="2666365"/>
            <wp:effectExtent l="0" t="0" r="1016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4695190" cy="2666365"/>
                    </a:xfrm>
                    <a:prstGeom prst="rect">
                      <a:avLst/>
                    </a:prstGeom>
                    <a:noFill/>
                    <a:ln w="9525">
                      <a:noFill/>
                    </a:ln>
                  </pic:spPr>
                </pic:pic>
              </a:graphicData>
            </a:graphic>
          </wp:inline>
        </w:drawing>
      </w:r>
    </w:p>
    <w:p>
      <w:pPr>
        <w:numPr>
          <w:ilvl w:val="5"/>
          <w:numId w:val="8"/>
        </w:numPr>
        <w:ind w:left="2520" w:leftChars="0" w:hanging="420" w:firstLineChars="0"/>
        <w:jc w:val="left"/>
        <w:rPr>
          <w:rFonts w:hint="eastAsia" w:ascii="微软雅黑" w:hAnsi="微软雅黑" w:eastAsia="微软雅黑" w:cs="微软雅黑"/>
          <w:color w:val="auto"/>
          <w:sz w:val="32"/>
          <w:szCs w:val="32"/>
          <w:lang w:val="en-US" w:eastAsia="zh-CN"/>
        </w:rPr>
      </w:pPr>
      <w:r>
        <w:rPr>
          <w:rFonts w:hint="eastAsia" w:ascii="微软雅黑" w:hAnsi="微软雅黑" w:eastAsia="微软雅黑" w:cs="微软雅黑"/>
          <w:color w:val="auto"/>
          <w:sz w:val="32"/>
          <w:szCs w:val="32"/>
          <w:lang w:val="en-US" w:eastAsia="zh-CN"/>
        </w:rPr>
        <w:t>根据玩家权益归属，对应的代理成本分摊为：</w:t>
      </w:r>
      <w:r>
        <w:drawing>
          <wp:inline distT="0" distB="0" distL="114300" distR="114300">
            <wp:extent cx="5272405" cy="1726565"/>
            <wp:effectExtent l="0" t="0" r="4445"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9"/>
                    <a:stretch>
                      <a:fillRect/>
                    </a:stretch>
                  </pic:blipFill>
                  <pic:spPr>
                    <a:xfrm>
                      <a:off x="0" y="0"/>
                      <a:ext cx="5272405" cy="1726565"/>
                    </a:xfrm>
                    <a:prstGeom prst="rect">
                      <a:avLst/>
                    </a:prstGeom>
                    <a:noFill/>
                    <a:ln w="9525">
                      <a:noFill/>
                    </a:ln>
                  </pic:spPr>
                </pic:pic>
              </a:graphicData>
            </a:graphic>
          </wp:inline>
        </w:drawing>
      </w:r>
    </w:p>
    <w:p>
      <w:pPr>
        <w:numPr>
          <w:ilvl w:val="5"/>
          <w:numId w:val="8"/>
        </w:numPr>
        <w:ind w:left="2520" w:leftChars="0" w:hanging="420" w:firstLineChars="0"/>
        <w:jc w:val="left"/>
        <w:rPr>
          <w:rFonts w:hint="eastAsia" w:ascii="微软雅黑" w:hAnsi="微软雅黑" w:eastAsia="微软雅黑" w:cs="微软雅黑"/>
          <w:color w:val="auto"/>
          <w:sz w:val="32"/>
          <w:szCs w:val="32"/>
          <w:lang w:val="en-US" w:eastAsia="zh-CN"/>
        </w:rPr>
      </w:pPr>
      <w:r>
        <w:rPr>
          <w:rFonts w:hint="eastAsia" w:ascii="微软雅黑" w:hAnsi="微软雅黑" w:eastAsia="微软雅黑" w:cs="微软雅黑"/>
          <w:color w:val="auto"/>
          <w:sz w:val="32"/>
          <w:szCs w:val="32"/>
          <w:lang w:val="en-US" w:eastAsia="zh-CN"/>
        </w:rPr>
        <w:t>对应的成本分摊配置见上文中：</w:t>
      </w:r>
      <w:r>
        <w:rPr>
          <w:rFonts w:hint="eastAsia" w:ascii="微软雅黑" w:hAnsi="微软雅黑" w:eastAsia="微软雅黑" w:cs="微软雅黑"/>
          <w:sz w:val="32"/>
          <w:szCs w:val="32"/>
          <w:lang w:val="en-US" w:eastAsia="zh-CN"/>
        </w:rPr>
        <w:t>代理配置数据-结算分摊。（因为所有的成本分摊比例为100%，所以对应的代理分摊统计计算如下表）：</w:t>
      </w:r>
      <w:r>
        <w:drawing>
          <wp:inline distT="0" distB="0" distL="114300" distR="114300">
            <wp:extent cx="4654550" cy="1586230"/>
            <wp:effectExtent l="0" t="0" r="1270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4654550" cy="1586230"/>
                    </a:xfrm>
                    <a:prstGeom prst="rect">
                      <a:avLst/>
                    </a:prstGeom>
                    <a:noFill/>
                    <a:ln w="9525">
                      <a:noFill/>
                    </a:ln>
                  </pic:spPr>
                </pic:pic>
              </a:graphicData>
            </a:graphic>
          </wp:inline>
        </w:drawing>
      </w:r>
    </w:p>
    <w:p>
      <w:pPr>
        <w:numPr>
          <w:ilvl w:val="5"/>
          <w:numId w:val="8"/>
        </w:numPr>
        <w:ind w:left="2520" w:leftChars="0" w:hanging="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代理累计上月、手工调整均为0的情况下：对应的实际发放即为下表：</w:t>
      </w:r>
      <w:r>
        <w:drawing>
          <wp:inline distT="0" distB="0" distL="114300" distR="114300">
            <wp:extent cx="4451350" cy="1164590"/>
            <wp:effectExtent l="0" t="0" r="6350" b="165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1"/>
                    <a:stretch>
                      <a:fillRect/>
                    </a:stretch>
                  </pic:blipFill>
                  <pic:spPr>
                    <a:xfrm>
                      <a:off x="0" y="0"/>
                      <a:ext cx="4451350" cy="1164590"/>
                    </a:xfrm>
                    <a:prstGeom prst="rect">
                      <a:avLst/>
                    </a:prstGeom>
                    <a:noFill/>
                    <a:ln w="9525">
                      <a:noFill/>
                    </a:ln>
                  </pic:spPr>
                </pic:pic>
              </a:graphicData>
            </a:graphic>
          </wp:inline>
        </w:drawing>
      </w:r>
    </w:p>
    <w:p>
      <w:pPr>
        <w:numPr>
          <w:ilvl w:val="5"/>
          <w:numId w:val="8"/>
        </w:numPr>
        <w:ind w:left="2520" w:leftChars="0" w:hanging="420" w:firstLineChars="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实际发放与结转下月：运营商在某些条件下会将一部分的金额扣除到下个月再结算（本月的累加上月金额即为上月的结转下月金额）。本期佣金=实际发放+结转下月。实际发放金额将转入用户余额。结转下月将在下月结算时体现。</w:t>
      </w:r>
    </w:p>
    <w:p>
      <w:pPr>
        <w:numPr>
          <w:ilvl w:val="0"/>
          <w:numId w:val="1"/>
        </w:numPr>
        <w:ind w:left="0" w:leftChars="0" w:firstLine="640" w:firstLineChars="200"/>
        <w:jc w:val="left"/>
        <w:rPr>
          <w:rFonts w:hint="eastAsia" w:ascii="微软雅黑" w:hAnsi="微软雅黑" w:eastAsia="微软雅黑" w:cs="微软雅黑"/>
          <w:sz w:val="32"/>
          <w:szCs w:val="32"/>
          <w:lang w:val="en-US" w:eastAsia="zh-CN"/>
        </w:rPr>
      </w:pPr>
      <w:bookmarkStart w:id="0" w:name="_GoBack"/>
      <w:bookmarkEnd w:id="0"/>
      <w:r>
        <w:rPr>
          <w:rFonts w:hint="eastAsia" w:ascii="微软雅黑" w:hAnsi="微软雅黑" w:eastAsia="微软雅黑" w:cs="微软雅黑"/>
          <w:sz w:val="32"/>
          <w:szCs w:val="32"/>
          <w:lang w:val="en-US" w:eastAsia="zh-CN"/>
        </w:rPr>
        <w:t>月结单：</w:t>
      </w:r>
    </w:p>
    <w:p>
      <w:pPr>
        <w:numPr>
          <w:ilvl w:val="1"/>
          <w:numId w:val="1"/>
        </w:numPr>
        <w:ind w:left="420" w:leftChars="0" w:firstLine="640" w:firstLineChars="20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月结单是系统在按照上述代理佣金结算后形成对应的数据结算表。表内包含每个代理对应的阶段订单。</w:t>
      </w:r>
    </w:p>
    <w:p>
      <w:pPr>
        <w:numPr>
          <w:ilvl w:val="1"/>
          <w:numId w:val="1"/>
        </w:numPr>
        <w:ind w:left="420" w:leftChars="0" w:firstLine="640" w:firstLineChars="20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月结单的对应操作与（https://keizak.atlassian.net/wiki/spaces/KZHELP/pages/1179866 对应的描述相同）。</w:t>
      </w:r>
    </w:p>
    <w:p>
      <w:pPr>
        <w:numPr>
          <w:ilvl w:val="0"/>
          <w:numId w:val="0"/>
        </w:numPr>
        <w:ind w:leftChars="200"/>
        <w:jc w:val="left"/>
        <w:rPr>
          <w:rFonts w:hint="eastAsia" w:ascii="微软雅黑" w:hAnsi="微软雅黑" w:eastAsia="微软雅黑" w:cs="微软雅黑"/>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E41AC5"/>
    <w:multiLevelType w:val="multilevel"/>
    <w:tmpl w:val="59E41AC5"/>
    <w:lvl w:ilvl="0" w:tentative="0">
      <w:start w:val="1"/>
      <w:numFmt w:val="chineseCounting"/>
      <w:suff w:val="nothing"/>
      <w:lvlText w:val="%1、"/>
      <w:lvlJc w:val="left"/>
      <w:pPr>
        <w:ind w:left="0" w:firstLine="420"/>
      </w:pPr>
      <w:rPr>
        <w:rFonts w:hint="eastAsia"/>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59E41AD6"/>
    <w:multiLevelType w:val="multilevel"/>
    <w:tmpl w:val="59E41AD6"/>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9E430BB"/>
    <w:multiLevelType w:val="multilevel"/>
    <w:tmpl w:val="59E430BB"/>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59E4531F"/>
    <w:multiLevelType w:val="multilevel"/>
    <w:tmpl w:val="59E4531F"/>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9E46EC7"/>
    <w:multiLevelType w:val="multilevel"/>
    <w:tmpl w:val="59E46EC7"/>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9E47FEE"/>
    <w:multiLevelType w:val="multilevel"/>
    <w:tmpl w:val="59E47FEE"/>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9E485B9"/>
    <w:multiLevelType w:val="multilevel"/>
    <w:tmpl w:val="59E485B9"/>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9E4908B"/>
    <w:multiLevelType w:val="multilevel"/>
    <w:tmpl w:val="59E4908B"/>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outline"/>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F6FD9"/>
    <w:rsid w:val="03DD0D84"/>
    <w:rsid w:val="0525259A"/>
    <w:rsid w:val="05C214BD"/>
    <w:rsid w:val="060D21F5"/>
    <w:rsid w:val="06B71DD2"/>
    <w:rsid w:val="084A325B"/>
    <w:rsid w:val="09C50384"/>
    <w:rsid w:val="0DBD14C7"/>
    <w:rsid w:val="0EC962EA"/>
    <w:rsid w:val="135D67D0"/>
    <w:rsid w:val="143C5561"/>
    <w:rsid w:val="14FF1119"/>
    <w:rsid w:val="16064CE4"/>
    <w:rsid w:val="179C2692"/>
    <w:rsid w:val="17DC662C"/>
    <w:rsid w:val="185A1AA2"/>
    <w:rsid w:val="19DD048C"/>
    <w:rsid w:val="1D9B0F7A"/>
    <w:rsid w:val="1DB639D7"/>
    <w:rsid w:val="1EA6670B"/>
    <w:rsid w:val="1FE544C2"/>
    <w:rsid w:val="22276A54"/>
    <w:rsid w:val="2337797F"/>
    <w:rsid w:val="240C1244"/>
    <w:rsid w:val="26C768E6"/>
    <w:rsid w:val="271F2D41"/>
    <w:rsid w:val="29042C8C"/>
    <w:rsid w:val="295D4EF1"/>
    <w:rsid w:val="2B2D16A6"/>
    <w:rsid w:val="2C013057"/>
    <w:rsid w:val="2CEF1030"/>
    <w:rsid w:val="2D15301C"/>
    <w:rsid w:val="37F61B31"/>
    <w:rsid w:val="38793359"/>
    <w:rsid w:val="391325B1"/>
    <w:rsid w:val="39372D6A"/>
    <w:rsid w:val="3CDF1F0E"/>
    <w:rsid w:val="41126A78"/>
    <w:rsid w:val="41945F79"/>
    <w:rsid w:val="441B3C63"/>
    <w:rsid w:val="44C61A6A"/>
    <w:rsid w:val="47BB5E51"/>
    <w:rsid w:val="4A296890"/>
    <w:rsid w:val="4B732D87"/>
    <w:rsid w:val="4CF747A9"/>
    <w:rsid w:val="4D2C7650"/>
    <w:rsid w:val="4E066D88"/>
    <w:rsid w:val="4F250793"/>
    <w:rsid w:val="531E698F"/>
    <w:rsid w:val="54E92E91"/>
    <w:rsid w:val="555C0D82"/>
    <w:rsid w:val="56FA3CEE"/>
    <w:rsid w:val="58B8112F"/>
    <w:rsid w:val="5A902E14"/>
    <w:rsid w:val="5C5F1707"/>
    <w:rsid w:val="5C740DB0"/>
    <w:rsid w:val="5DFC61F6"/>
    <w:rsid w:val="5F357D64"/>
    <w:rsid w:val="5F860C04"/>
    <w:rsid w:val="5F8E64D2"/>
    <w:rsid w:val="600C7F7F"/>
    <w:rsid w:val="630B3DAB"/>
    <w:rsid w:val="646B6779"/>
    <w:rsid w:val="656A7D8D"/>
    <w:rsid w:val="660E34EA"/>
    <w:rsid w:val="66EF002E"/>
    <w:rsid w:val="6C706314"/>
    <w:rsid w:val="6D0D114C"/>
    <w:rsid w:val="6D574BE2"/>
    <w:rsid w:val="6FFC130E"/>
    <w:rsid w:val="70AE71E7"/>
    <w:rsid w:val="72371171"/>
    <w:rsid w:val="73DD27E3"/>
    <w:rsid w:val="74BB4B4B"/>
    <w:rsid w:val="768E1ABD"/>
    <w:rsid w:val="77794B4B"/>
    <w:rsid w:val="786211EB"/>
    <w:rsid w:val="7AAD7B5E"/>
    <w:rsid w:val="7AE71B00"/>
    <w:rsid w:val="7B290727"/>
    <w:rsid w:val="7B2E6B29"/>
    <w:rsid w:val="7C074B8F"/>
    <w:rsid w:val="7ECA52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3">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Guichun</dc:creator>
  <cp:lastModifiedBy>不名</cp:lastModifiedBy>
  <dcterms:modified xsi:type="dcterms:W3CDTF">2018-01-04T04:49:28Z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