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牛博彩票相关</w:t>
      </w:r>
      <w:r>
        <w:rPr>
          <w:rFonts w:hint="eastAsia" w:ascii="微软雅黑" w:hAnsi="微软雅黑" w:eastAsia="微软雅黑" w:cs="微软雅黑"/>
          <w:sz w:val="36"/>
          <w:szCs w:val="36"/>
        </w:rPr>
        <w:t>流水信息整理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牛博彩票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：</w:t>
      </w:r>
    </w:p>
    <w:p>
      <w:pPr>
        <w:pStyle w:val="9"/>
        <w:numPr>
          <w:ilvl w:val="1"/>
          <w:numId w:val="1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流水明细数据整理：</w:t>
      </w:r>
    </w:p>
    <w:p>
      <w:pPr>
        <w:pStyle w:val="9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数据结构：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注单数据：</w:t>
      </w:r>
    </w:p>
    <w:p>
      <w:pPr>
        <w:pStyle w:val="9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pk|146593|htest01|654626|亞軍:大|1.98|2|1.96|1512539042|1;</w:t>
      </w:r>
    </w:p>
    <w:p>
      <w:pPr>
        <w:pStyle w:val="9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pk|146594|htest01|654626|第三名:大|1.98|2|-2|1512539042|1;</w:t>
      </w:r>
    </w:p>
    <w:p>
      <w:pPr>
        <w:pStyle w:val="9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pk|146595|alien44|654836|冠亞軍和:3|42|10|-10|1512634742|1;</w:t>
      </w:r>
    </w:p>
    <w:p>
      <w:pPr>
        <w:pStyle w:val="9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pk|146596|alien44|654836|冠亞軍和:16|20.08|10|-10|1512634742|1;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其它数据：</w:t>
      </w:r>
      <w:r>
        <w:drawing>
          <wp:inline distT="0" distB="0" distL="114300" distR="114300">
            <wp:extent cx="5269865" cy="255270"/>
            <wp:effectExtent l="0" t="0" r="3175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页面结构：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040" cy="967105"/>
            <wp:effectExtent l="0" t="0" r="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页面结构调整：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投注内容项调整：去掉投注内容第一行内容，对应数据已有显示。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投注内容项增加：增加对应玩法期数显示，方便运营商核对下注数据。</w:t>
      </w:r>
    </w:p>
    <w:p>
      <w:pPr>
        <w:pStyle w:val="9"/>
        <w:numPr>
          <w:ilvl w:val="2"/>
          <w:numId w:val="1"/>
        </w:numPr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游戏流水功能描述：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游戏平台：“牛博彩票”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账号：注单数据第三项。</w:t>
      </w:r>
      <w:r>
        <w:drawing>
          <wp:inline distT="0" distB="0" distL="114300" distR="114300">
            <wp:extent cx="3239770" cy="1080770"/>
            <wp:effectExtent l="0" t="0" r="635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注单号：其它数据-signstr。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下注时间：注单数据第九项（倒数第二项）。格式转换为页面结构对应格式：</w:t>
      </w:r>
      <w:r>
        <w:drawing>
          <wp:inline distT="0" distB="0" distL="114300" distR="114300">
            <wp:extent cx="640080" cy="31242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投注内容：</w:t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游戏玩法分类：注单数据第一项；对应进行文字转换（</w:t>
      </w:r>
      <w:r>
        <w:rPr>
          <w:rFonts w:hint="eastAsia" w:ascii="微软雅黑" w:hAnsi="微软雅黑" w:eastAsia="微软雅黑" w:cs="微软雅黑"/>
          <w:color w:val="FF0000"/>
          <w:sz w:val="21"/>
          <w:szCs w:val="22"/>
          <w:lang w:val="en-US" w:eastAsia="zh-CN"/>
        </w:rPr>
        <w:t>小强代码中为繁体字，需要按下文转换为简体字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）：如注单数据中的PK转换为“北京赛车”：'ssl'='上海时时乐','sd'='福彩3D','ps'='体彩排列三','cqssc'='重庆時時彩','lhc'='香港六合彩','klsf'='广东快乐十分','tjklsf'='天津快乐十分','tjssc'='天津时时彩','jsks'='江苏快３','jlks'='吉林快３','pk'='北京赛车,'cqklsf'='重庆幸运农场','klfp'='北京快乐8','bjks'='北京快３','gxklsf'='广西快乐十分','hnklsf'='湖南快乐十分',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 xml:space="preserve">  'sdsyxw'='山东11选5','gdsyxw'='广东11选5','jlsyxw'='吉林11选5','xjssc'='新疆时时彩','jssb'='江苏骰宝','jlsb'='吉林骰宝','xyft'='幸运飞艇'.</w:t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下注项：注单数据第五项。</w:t>
      </w:r>
      <w:r>
        <w:drawing>
          <wp:inline distT="0" distB="0" distL="114300" distR="114300">
            <wp:extent cx="3815080" cy="1316990"/>
            <wp:effectExtent l="0" t="0" r="1016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eastAsia="微软雅黑"/>
          <w:lang w:val="en-US" w:eastAsia="zh-CN"/>
        </w:rPr>
        <w:t>游戏内容期数：注单数据第四项。</w:t>
      </w:r>
    </w:p>
    <w:p>
      <w:pPr>
        <w:pStyle w:val="9"/>
        <w:numPr>
          <w:ilvl w:val="0"/>
          <w:numId w:val="0"/>
        </w:numPr>
        <w:ind w:left="2100" w:left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drawing>
          <wp:inline distT="0" distB="0" distL="114300" distR="114300">
            <wp:extent cx="3691890" cy="1191260"/>
            <wp:effectExtent l="0" t="0" r="1143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eastAsia="微软雅黑"/>
          <w:lang w:val="en-US" w:eastAsia="zh-CN"/>
        </w:rPr>
        <w:t>下注金额：注单数据第七项：</w:t>
      </w:r>
      <w:r>
        <w:drawing>
          <wp:inline distT="0" distB="0" distL="114300" distR="114300">
            <wp:extent cx="3851275" cy="1344930"/>
            <wp:effectExtent l="0" t="0" r="4445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eastAsia="微软雅黑"/>
          <w:lang w:val="en-US" w:eastAsia="zh-CN"/>
        </w:rPr>
        <w:t>赔率：注单数据第六项：</w:t>
      </w:r>
      <w:r>
        <w:drawing>
          <wp:inline distT="0" distB="0" distL="114300" distR="114300">
            <wp:extent cx="4140835" cy="1395095"/>
            <wp:effectExtent l="0" t="0" r="4445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投注内容生成：</w:t>
      </w:r>
    </w:p>
    <w:p>
      <w:pPr>
        <w:pStyle w:val="9"/>
        <w:numPr>
          <w:ilvl w:val="5"/>
          <w:numId w:val="1"/>
        </w:numPr>
        <w:ind w:left="25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第一行：游戏玩法分类+“(第”+</w:t>
      </w:r>
      <w:r>
        <w:rPr>
          <w:rFonts w:hint="eastAsia" w:eastAsia="微软雅黑"/>
          <w:lang w:val="en-US" w:eastAsia="zh-CN"/>
        </w:rPr>
        <w:t>游戏内容期数+</w:t>
      </w:r>
      <w:r>
        <w:rPr>
          <w:rFonts w:hint="default" w:eastAsia="微软雅黑"/>
          <w:lang w:val="en-US" w:eastAsia="zh-CN"/>
        </w:rPr>
        <w:t>”</w:t>
      </w:r>
      <w:r>
        <w:rPr>
          <w:rFonts w:hint="eastAsia" w:eastAsia="微软雅黑"/>
          <w:lang w:val="en-US" w:eastAsia="zh-CN"/>
        </w:rPr>
        <w:t>期)</w:t>
      </w:r>
      <w:r>
        <w:rPr>
          <w:rFonts w:hint="default" w:eastAsia="微软雅黑"/>
          <w:lang w:val="en-US" w:eastAsia="zh-CN"/>
        </w:rPr>
        <w:t>”</w:t>
      </w:r>
    </w:p>
    <w:p>
      <w:pPr>
        <w:pStyle w:val="9"/>
        <w:numPr>
          <w:ilvl w:val="5"/>
          <w:numId w:val="1"/>
        </w:numPr>
        <w:ind w:left="25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eastAsia="微软雅黑"/>
          <w:lang w:val="en-US" w:eastAsia="zh-CN"/>
        </w:rPr>
        <w:t>第二行：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下注项+“@”+</w:t>
      </w:r>
      <w:r>
        <w:rPr>
          <w:rFonts w:hint="eastAsia" w:eastAsia="微软雅黑"/>
          <w:lang w:val="en-US" w:eastAsia="zh-CN"/>
        </w:rPr>
        <w:t>赔率</w:t>
      </w:r>
    </w:p>
    <w:p>
      <w:pPr>
        <w:pStyle w:val="9"/>
        <w:numPr>
          <w:ilvl w:val="5"/>
          <w:numId w:val="1"/>
        </w:numPr>
        <w:ind w:left="25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eastAsia="微软雅黑"/>
          <w:lang w:val="en-US" w:eastAsia="zh-CN"/>
        </w:rPr>
        <w:t>举例数据：</w:t>
      </w:r>
      <w:r>
        <w:drawing>
          <wp:inline distT="0" distB="0" distL="114300" distR="114300">
            <wp:extent cx="3060065" cy="193675"/>
            <wp:effectExtent l="0" t="0" r="3175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2100" w:leftChars="0"/>
        <w:jc w:val="center"/>
        <w:rPr>
          <w:rFonts w:hint="eastAsia" w:ascii="微软雅黑" w:hAnsi="微软雅黑" w:eastAsia="微软雅黑" w:cs="微软雅黑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8"/>
          <w:szCs w:val="18"/>
          <w:lang w:val="en-US" w:eastAsia="zh-CN"/>
        </w:rPr>
        <w:t>北京赛车（第654626期）</w:t>
      </w:r>
    </w:p>
    <w:p>
      <w:pPr>
        <w:pStyle w:val="9"/>
        <w:numPr>
          <w:ilvl w:val="0"/>
          <w:numId w:val="0"/>
        </w:numPr>
        <w:ind w:left="2100" w:leftChars="0"/>
        <w:jc w:val="center"/>
        <w:rPr>
          <w:rFonts w:hint="eastAsia" w:ascii="微软雅黑" w:hAnsi="微软雅黑" w:eastAsia="微软雅黑" w:cs="微软雅黑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8"/>
          <w:szCs w:val="18"/>
          <w:lang w:val="en-US" w:eastAsia="zh-CN"/>
        </w:rPr>
        <w:t>亞軍:大@1.98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游戏结算：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注单数据第十项（最后一项）.1-“结算完成”；0-“待结算”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下注金额：注单数据第七项，注意将数据转换为货币类型，精确到小数点后两位；如果公司输赢&lt;0，字体为红色。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公司输赢：注单数据第八项的</w:t>
      </w:r>
      <w:r>
        <w:rPr>
          <w:rFonts w:hint="eastAsia" w:ascii="微软雅黑" w:hAnsi="微软雅黑" w:eastAsia="微软雅黑" w:cs="微软雅黑"/>
          <w:color w:val="FF0000"/>
          <w:sz w:val="21"/>
          <w:szCs w:val="22"/>
          <w:lang w:val="en-US" w:eastAsia="zh-CN"/>
        </w:rPr>
        <w:t>相反数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，注意将数据转换为货币类型，精确到小数点后两位，如果公司输赢&lt;0，字体为红色。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派彩金额：</w:t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当结算状态为1时：等于下注金额-公司输赢，注意将数据转换为货币类型，精确到小数点后两位，如果公司输赢&lt;0，字体为红色。</w:t>
      </w:r>
    </w:p>
    <w:p>
      <w:pPr>
        <w:pStyle w:val="9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color w:val="0000FF"/>
          <w:sz w:val="21"/>
          <w:szCs w:val="22"/>
          <w:lang w:val="en-US"/>
        </w:rPr>
      </w:pPr>
      <w:commentRangeStart w:id="0"/>
      <w:r>
        <w:rPr>
          <w:rFonts w:hint="eastAsia" w:ascii="微软雅黑" w:hAnsi="微软雅黑" w:eastAsia="微软雅黑" w:cs="微软雅黑"/>
          <w:color w:val="0000FF"/>
          <w:sz w:val="21"/>
          <w:szCs w:val="22"/>
          <w:lang w:val="en-US" w:eastAsia="zh-CN"/>
        </w:rPr>
        <w:t>当结算状态为0时：等于0.00</w:t>
      </w:r>
      <w:commentRangeEnd w:id="0"/>
      <w:r>
        <w:commentReference w:id="0"/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有效投注：取{下注金额}、{公司输赢}的绝对值 中最小的一个，注意将数据转换为货币类型，精确到小数点后两位，如果公司输赢&lt;0，字体为红色。</w:t>
      </w:r>
    </w:p>
    <w:p>
      <w:pPr>
        <w:pStyle w:val="9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是否有效：游戏结算=1，有效；游戏结算=0，无效。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不名" w:date="2017-12-12T00:50:41Z" w:initials="">
    <w:p w14:paraId="59B02A4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2017-12-12：增加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B02A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B246A"/>
    <w:multiLevelType w:val="multilevel"/>
    <w:tmpl w:val="3BBB246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不名">
    <w15:presenceInfo w15:providerId="WPS Office" w15:userId="3221376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00"/>
    <w:rsid w:val="00163796"/>
    <w:rsid w:val="001C04C0"/>
    <w:rsid w:val="001F0911"/>
    <w:rsid w:val="00497CF4"/>
    <w:rsid w:val="005D7E00"/>
    <w:rsid w:val="007C060A"/>
    <w:rsid w:val="009A4DEF"/>
    <w:rsid w:val="00A00AD9"/>
    <w:rsid w:val="00B833CF"/>
    <w:rsid w:val="00BA3BBA"/>
    <w:rsid w:val="00C1623E"/>
    <w:rsid w:val="00C50B54"/>
    <w:rsid w:val="018324AD"/>
    <w:rsid w:val="01D10F36"/>
    <w:rsid w:val="03373671"/>
    <w:rsid w:val="038706B7"/>
    <w:rsid w:val="04C758A5"/>
    <w:rsid w:val="07AC4580"/>
    <w:rsid w:val="091F5CF8"/>
    <w:rsid w:val="09281822"/>
    <w:rsid w:val="097B580A"/>
    <w:rsid w:val="09FA647A"/>
    <w:rsid w:val="0F5079D7"/>
    <w:rsid w:val="117A55D9"/>
    <w:rsid w:val="11E85139"/>
    <w:rsid w:val="159523A5"/>
    <w:rsid w:val="15BC1B89"/>
    <w:rsid w:val="182F574B"/>
    <w:rsid w:val="185F352D"/>
    <w:rsid w:val="18E03F8A"/>
    <w:rsid w:val="19AA0956"/>
    <w:rsid w:val="19D9078D"/>
    <w:rsid w:val="1A3D2BD0"/>
    <w:rsid w:val="1BB4694E"/>
    <w:rsid w:val="1C1941A0"/>
    <w:rsid w:val="1D590A3B"/>
    <w:rsid w:val="1D601A82"/>
    <w:rsid w:val="1F9D0F10"/>
    <w:rsid w:val="22A40601"/>
    <w:rsid w:val="2482170C"/>
    <w:rsid w:val="253E2386"/>
    <w:rsid w:val="25683EE2"/>
    <w:rsid w:val="28617380"/>
    <w:rsid w:val="2B0073FB"/>
    <w:rsid w:val="2B773293"/>
    <w:rsid w:val="2C1F4D4E"/>
    <w:rsid w:val="2EC81F2D"/>
    <w:rsid w:val="30416D30"/>
    <w:rsid w:val="31123F06"/>
    <w:rsid w:val="312F0892"/>
    <w:rsid w:val="3142297F"/>
    <w:rsid w:val="325B2E99"/>
    <w:rsid w:val="35002144"/>
    <w:rsid w:val="361C5C94"/>
    <w:rsid w:val="362F7152"/>
    <w:rsid w:val="37EE1422"/>
    <w:rsid w:val="38631D4D"/>
    <w:rsid w:val="39926487"/>
    <w:rsid w:val="3ACA50E2"/>
    <w:rsid w:val="3D887F74"/>
    <w:rsid w:val="3F1E2E4C"/>
    <w:rsid w:val="3F203EF2"/>
    <w:rsid w:val="3F6A194A"/>
    <w:rsid w:val="43A308A2"/>
    <w:rsid w:val="43F25F32"/>
    <w:rsid w:val="45581F24"/>
    <w:rsid w:val="486726A3"/>
    <w:rsid w:val="496D0853"/>
    <w:rsid w:val="49F76E62"/>
    <w:rsid w:val="4A4516F4"/>
    <w:rsid w:val="4A845234"/>
    <w:rsid w:val="50A648B6"/>
    <w:rsid w:val="51355255"/>
    <w:rsid w:val="51D73AC9"/>
    <w:rsid w:val="55460185"/>
    <w:rsid w:val="584A3B55"/>
    <w:rsid w:val="59A67330"/>
    <w:rsid w:val="5A592C8B"/>
    <w:rsid w:val="5E5F2C51"/>
    <w:rsid w:val="60F04F69"/>
    <w:rsid w:val="63C96931"/>
    <w:rsid w:val="668C4D71"/>
    <w:rsid w:val="67EE1468"/>
    <w:rsid w:val="67F866DB"/>
    <w:rsid w:val="68977E70"/>
    <w:rsid w:val="69EF4316"/>
    <w:rsid w:val="6A1F5856"/>
    <w:rsid w:val="6ADE42B5"/>
    <w:rsid w:val="6B171C17"/>
    <w:rsid w:val="6B3E44AD"/>
    <w:rsid w:val="6D8F6CC9"/>
    <w:rsid w:val="6E606F5D"/>
    <w:rsid w:val="6F543F85"/>
    <w:rsid w:val="7041124D"/>
    <w:rsid w:val="71F21CC0"/>
    <w:rsid w:val="72021F32"/>
    <w:rsid w:val="7D1047D5"/>
    <w:rsid w:val="7D7045B2"/>
    <w:rsid w:val="7EAF2B6F"/>
    <w:rsid w:val="7F80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01"/>
    <w:basedOn w:val="5"/>
    <w:qFormat/>
    <w:uiPriority w:val="0"/>
    <w:rPr>
      <w:rFonts w:ascii="Arial Unicode MS" w:hAnsi="Arial Unicode MS" w:eastAsia="Arial Unicode MS" w:cs="Arial Unicode M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664</Characters>
  <Lines>5</Lines>
  <Paragraphs>1</Paragraphs>
  <ScaleCrop>false</ScaleCrop>
  <LinksUpToDate>false</LinksUpToDate>
  <CharactersWithSpaces>779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2017-11-08T16:04:00Z</dcterms:created>
  <dc:creator>Guichun Zhao</dc:creator>
  <cp:lastModifiedBy>不名</cp:lastModifiedBy>
  <dcterms:modified xsi:type="dcterms:W3CDTF">2018-01-18T06:03:37Z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