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j2hy3c7gtpv8" w:id="0"/>
      <w:bookmarkEnd w:id="0"/>
      <w:r w:rsidDel="00000000" w:rsidR="00000000" w:rsidRPr="00000000">
        <w:rPr>
          <w:rtl w:val="0"/>
        </w:rPr>
        <w:t xml:space="preserve">Golden Rules for Running A Successful Recording Session</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Production and Recording. Production involves creative work in addition to the technical process of recording. Production sessions generally are suited to artists that are using the studio time to not only record but to create the music. This is traditionally what bands with label support would do with bands sophomore albums. Typical recording sessions nowadays are primarily just recording. Though you can do production sessions with artists it is a much costlier endeavour. When running sessions that are primarily just recording, insist on preparedness from your artists. It can be helpful to temper expectations.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Plan ahead as much as possible.</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Make your terms known as much as possible beforehand.</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Make the session as comfortable as possible. Cleanliness.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 little illusion work can go a long way. Remember that the fishbowl stresses musicians out.</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When recording digitally, record everything. When recording analog, plan what is important to record.</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Take control of the clock.</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Save everything!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Prefer equipment you are familiar with. Sessions aren’t the place to experiment with gear, especially when someone is paying for your time. At the same time, make sure you know your space.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No kids, no uninvited guests.</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Be the boss.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