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ctj7jj6rxfq2" w:id="0"/>
      <w:bookmarkEnd w:id="0"/>
      <w:r w:rsidDel="00000000" w:rsidR="00000000" w:rsidRPr="00000000">
        <w:rPr>
          <w:rtl w:val="0"/>
        </w:rPr>
        <w:t xml:space="preserve">Recording Technology III </w:t>
      </w:r>
    </w:p>
    <w:p w:rsidR="00000000" w:rsidDel="00000000" w:rsidP="00000000" w:rsidRDefault="00000000" w:rsidRPr="00000000" w14:paraId="00000002">
      <w:pPr>
        <w:pStyle w:val="Subtitle"/>
        <w:spacing w:after="0" w:line="240" w:lineRule="auto"/>
        <w:jc w:val="center"/>
        <w:rPr>
          <w:i w:val="1"/>
        </w:rPr>
      </w:pPr>
      <w:bookmarkStart w:colFirst="0" w:colLast="0" w:name="_j1igq0buwfu8" w:id="1"/>
      <w:bookmarkEnd w:id="1"/>
      <w:r w:rsidDel="00000000" w:rsidR="00000000" w:rsidRPr="00000000">
        <w:rPr>
          <w:rtl w:val="0"/>
        </w:rPr>
        <w:t xml:space="preserve">Lab #1 - Monitoring Playback on the Genesys Black</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Power up the studio using the proper order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Computer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Genesys Black</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Interface Rack</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Power Amps for Monitors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Pull up a stereo audio file on the computer, loop it, and play it back.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Switch the computer screen to the input for the Genesys. Find the RTE select button in the master section and click it. Verify that the screen has changed to the routing matrix.</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Look at channel one and make sure the SEL button is lit (green). Go back to the master section and click MON followed by L. You have now assigned output 1 to Monitor Input 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Press the right arrow in the same section to switch to channel two. Verify that the SEL button is lit (green) on that channel. Go back to the master section and click R, MON should still be lit. You have now assigned output 2 to Monitor Input 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Un-cut the speakers and turn up the volume knob. Ensure that the master fader is turned up to Unity. You should now hear audio playback.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Stand in the mix position and verify that you are listening to stereo.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Switch between the various speaker setups and listen to how they sound different.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After you have completed the previous steps, neutralize the board. All knobs, faders, and switches that you have adjusted need to be returned to their normalized (or zeroed) position. With the Genesys many settings will reset to their default once the console is power cycled.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Power down the studio. Remember that the power down sequence is the reverse order of the power on sequence.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