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645904541" w:lineRule="auto"/>
        <w:ind w:left="10" w:right="410.501708984375" w:hanging="2.9999923706054688"/>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The PYE H-B Architecture (Precision Yield  Endocrine Human-Biology Architecture)  establishes a structured, reverse-engineered  blueprint for systemic recalibration. By moving  from high-resolution cellular profiling up to  central signaling, it treats human physiology as  an integrated data network.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94873046875" w:line="330.97867012023926" w:lineRule="auto"/>
        <w:ind w:left="27.5" w:right="0" w:hanging="2.9999923706054688"/>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Core Pipeline of the PYE H-B Architecture [Layer 1: Hardware &amp; State] [Layer 2: Metabolic  Mapping] [Layer 3: Target Recalibration] NGS +  Karyotype Cycles ---&gt; Chromatography (LC-MS) --- &gt; Phase 1 Hormone Protocol (Genetic Code &amp;  Biological Age) (Real-Time Conversions)  (Precision-Tuned Signals)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610595703125" w:line="299.88000869750977" w:lineRule="auto"/>
        <w:ind w:left="39.50000762939453" w:right="1438.001708984375"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1. Level 0 Integration: Hardware &amp; Reserve  Mapping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75109863281" w:line="240" w:lineRule="auto"/>
        <w:ind w:left="39.50000762939453"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Before introducing any central operational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20.999984741210938" w:right="745.00244140625"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signal, the architecture runs a comprehensive  scan of the patient's biological hardware: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33837890625" w:line="319.8720073699951" w:lineRule="auto"/>
        <w:ind w:left="872.6666259765625" w:right="308.336181640625" w:firstLine="33.4999084472656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NGS Profiling: Maps single-nucleotide  polymorphisms (SNPs) and structural  variants in hormone receptors (AR, ESR1/2)  and metabolic enzymes (CYP19A1,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149238586426" w:lineRule="auto"/>
        <w:ind w:left="887.6666259765625" w:right="1332.3358154296875" w:firstLine="6.499938964843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CYP17A1) to establish true tissue-level  sensitivity.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906.166572570800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Karyotypic Age Cycles: Evaluates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0244140625" w:line="240" w:lineRule="auto"/>
        <w:ind w:left="887.166633605957"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chromosomal stability, telomeric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0244140625" w:line="319.8720645904541" w:lineRule="auto"/>
        <w:ind w:left="887.6666259765625" w:right="338.3349609375"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degradation, and marrow reserve (factoring  in chronological vs. biological age) to  determine if target tissues can safely  process accelerated cellular activity.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997924804688" w:line="240" w:lineRule="auto"/>
        <w:ind w:left="20.99998474121093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2. Level 1 Integration: Metabolic Flux Analysis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1987304688" w:line="319.8720073699951" w:lineRule="auto"/>
        <w:ind w:left="898.6665344238281" w:right="197.542724609375" w:hanging="4.499969482421875"/>
        <w:jc w:val="both"/>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Chromatographic Mapping: Uses LC-MS/GC MS to capture exact real-time steroidogenic  profiles, pinpointing enzymatic bottlenecks,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166572570800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altered precursor pools (DHEA,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0244140625" w:line="319.8720073699951" w:lineRule="auto"/>
        <w:ind w:left="899.1665649414062" w:right="1141.834716796875" w:hanging="0.5000305175781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pregnenolone), or peripheral conversion  imbalances before intervention begins.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0009765625" w:line="240" w:lineRule="auto"/>
        <w:ind w:left="20.99998474121093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3. Level 2 Integration: Phase 1 Signal Initiation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319.8719787597656" w:lineRule="auto"/>
        <w:ind w:left="866.6665649414062" w:right="499.3359375" w:firstLine="2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Calculated Baseline Target: Rather than  matching generic population averages,  Phase 1 introduces micro-dosed, precision timed hormonal signals based on the  patient's individual receptor sensitivity and  metabolic processing limits.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94873046875" w:line="319.8720932006836" w:lineRule="auto"/>
        <w:ind w:left="887.6666259765625" w:right="250.8349609375" w:firstLine="18.4999084472656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Feedback Modulation: Continuously cross references new chromatograms against the  patient's baseline parameters to adjust  signal strength, protecting bone marrow  stem cell niches and preventing receptor  desensitization.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660522460938" w:line="319.8720073699951" w:lineRule="auto"/>
        <w:ind w:left="12.999992370605469" w:right="375.501708984375" w:hanging="2.9999923706054688"/>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This architecture transforms endocrine therapy  from reactive hormone replacement into 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2.999992370605469" w:right="910.501708984375" w:firstLine="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engineered, bottom-up systems recalibration  framework.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66357421875" w:line="319.8719787597656" w:lineRule="auto"/>
        <w:ind w:left="0" w:right="401.50146484375" w:firstLine="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Applying the PYE H-B Architecture to  neutropenia re-frames the condition: instead of  treating neutropenia as an isolated failure of  white blood cell counts, it evaluates it as a  hardware bottleneck within the bone marrow  niche that requires precise metabolic mapping  before applying central growth signals.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009765625" w:line="299.88000869750977" w:lineRule="auto"/>
        <w:ind w:left="39.50000762939453" w:right="895.501708984375" w:hanging="21.500015258789062"/>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Step 1: Hardware &amp; Reserve Mapping (NGS +  Karyotype Cycles)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6748046875" w:line="319.8720073699951" w:lineRule="auto"/>
        <w:ind w:left="0" w:right="407.5" w:firstLine="39.50000762939453"/>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Before attempting to force bone marrow to  produce neutrophils, the architecture evaluates  the structural state of the hematopoietic stem  cells (HSCs):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66357421875" w:line="318.34545135498047" w:lineRule="auto"/>
        <w:ind w:left="872.6666259765625" w:right="699.3359375" w:firstLine="33.4999084472656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NGS Receptor &amp; Mutation Profiling: Maps  variants in granulocyte colony-stimulating  factor receptors (</w:t>
      </w:r>
      <w:r w:rsidDel="00000000" w:rsidR="00000000" w:rsidRPr="00000000">
        <w:rPr>
          <w:rFonts w:ascii="Roboto" w:cs="Roboto" w:eastAsia="Roboto" w:hAnsi="Roboto"/>
          <w:b w:val="0"/>
          <w:bCs w:val="0"/>
          <w:i w:val="0"/>
          <w:iCs w:val="0"/>
          <w:smallCaps w:val="0"/>
          <w:strike w:val="0"/>
          <w:color w:val="262626"/>
          <w:sz w:val="50.763580322265625"/>
          <w:szCs w:val="50.763580322265625"/>
          <w:u w:val="none"/>
          <w:shd w:fill="auto" w:val="clear"/>
          <w:vertAlign w:val="baseline"/>
          <w:rtl w:val="0"/>
        </w:rPr>
        <w:t xml:space="preserve">CSF3R</w:t>
      </w: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 chemokine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0677890777588" w:lineRule="auto"/>
        <w:ind w:left="898.6665344238281" w:right="460.64697265625" w:firstLine="0.5000305175781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receptors (</w:t>
      </w:r>
      <w:r w:rsidDel="00000000" w:rsidR="00000000" w:rsidRPr="00000000">
        <w:rPr>
          <w:rFonts w:ascii="Roboto" w:cs="Roboto" w:eastAsia="Roboto" w:hAnsi="Roboto"/>
          <w:b w:val="0"/>
          <w:bCs w:val="0"/>
          <w:i w:val="0"/>
          <w:iCs w:val="0"/>
          <w:smallCaps w:val="0"/>
          <w:strike w:val="0"/>
          <w:color w:val="262626"/>
          <w:sz w:val="50.763580322265625"/>
          <w:szCs w:val="50.763580322265625"/>
          <w:u w:val="none"/>
          <w:shd w:fill="auto" w:val="clear"/>
          <w:vertAlign w:val="baseline"/>
          <w:rtl w:val="0"/>
        </w:rPr>
        <w:t xml:space="preserve">CXCR4</w:t>
      </w: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62626"/>
          <w:sz w:val="50.763580322265625"/>
          <w:szCs w:val="50.763580322265625"/>
          <w:u w:val="none"/>
          <w:shd w:fill="auto" w:val="clear"/>
          <w:vertAlign w:val="baseline"/>
          <w:rtl w:val="0"/>
        </w:rPr>
        <w:t xml:space="preserve">CXCR2</w:t>
      </w: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 and DNA repair  pathways. If a patient has a mutated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20073699951" w:lineRule="auto"/>
        <w:ind w:left="887.1665954589844" w:right="335.833740234375" w:firstLine="11.9999694824218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receptor or a pathway defect, standard  central signals (like G-CSF) will either fail or  over-stimulate immature blasts.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20073699951" w:lineRule="auto"/>
        <w:ind w:left="884.6665954589844" w:right="1305.8355712890625" w:firstLine="21.499938964843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Karyotypic Age Cycles &amp; Chromosomal  Stability: Evaluates telomere length,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20073699951" w:lineRule="auto"/>
        <w:ind w:left="887.1665954589844" w:right="915.33447265625"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chromosomal breakage, and marrow  cellularity (factoring in chronological age  and previous insults like chemotherapy).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4599609375" w:line="318.9630603790283" w:lineRule="auto"/>
        <w:ind w:left="1421.0000610351562" w:right="320.001220703125" w:firstLine="5.3749084472656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763580322265625"/>
          <w:szCs w:val="50.763580322265625"/>
          <w:u w:val="none"/>
          <w:shd w:fill="auto" w:val="clear"/>
          <w:vertAlign w:val="baseline"/>
          <w:rtl w:val="0"/>
        </w:rPr>
        <w:t xml:space="preserve">Clinical Gate: </w:t>
      </w: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If the karyotypic age cycle  shows severe chromosomal instability or  near-total stem cell exhaustion,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20073699951" w:lineRule="auto"/>
        <w:ind w:left="1420.5000305175781" w:right="32.501220703125" w:firstLine="3.99993896484375"/>
        <w:jc w:val="both"/>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aggressive phase 1 signaling is flagged as  high-risk for driving myelodysplasia (MDS)  or leukemic transformation.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0009765625" w:line="240" w:lineRule="auto"/>
        <w:ind w:left="17.99999237060547"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Step 2: Metabolic Flux Analysis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993896484375" w:line="240" w:lineRule="auto"/>
        <w:ind w:left="30.49999237060547"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(Chromatography / LC-MS)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6741943359375" w:line="240" w:lineRule="auto"/>
        <w:ind w:left="39.50000762939453"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Rather than just checking serum neutrophil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599.501953125" w:firstLine="20.49999237060547"/>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counts, high-resolution chromatography maps  the biochemical and hormonal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32.00000762939453"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microenvironment supporting the bone marrow: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6650390625" w:line="319.8719787597656" w:lineRule="auto"/>
        <w:ind w:left="887.1665954589844" w:right="214.835205078125" w:hanging="2.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Steroid &amp; Endocrine Metabolites: Maps  systemic cortisol, DHEA, thyroid precursors,  and sex steroids. High systemic cortisol (a  catabolic, stress-driven "brain signal") or  deficient anabolic precursors suppress HSC  differentiation and accelerate neutrophil  apoptosis.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192153930664" w:lineRule="auto"/>
        <w:ind w:left="874.6665954589844" w:right="174.835205078125" w:firstLine="31.499938964843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Microenvironment Biomarkers: Measures  local inflammatory cytokines (IL-6, TNF- \alpha, TGF-\beta) driving "inflammaging" or  bone marrow fibrosis, identifying enzymatic  bottlenecks in the stromal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1318359375" w:line="240" w:lineRule="auto"/>
        <w:ind w:left="898.666572570800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microenvironment.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999389648438" w:line="386.511812210083" w:lineRule="auto"/>
        <w:ind w:left="42.5" w:right="461.50146484375" w:hanging="24.50000762939453"/>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Step 3: Phase 1 Signal Initiation &amp; Recalibration Instead of applying blanket doses of growth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1205.00244140625" w:firstLine="12.999992370605469"/>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factors or hormones, Phase 1 establishes a  tuned, multi-variable intervention: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319.8720073699951" w:lineRule="auto"/>
        <w:ind w:left="7.999992370605469" w:right="1003.50341796875" w:hanging="1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\text{Phase 1 Output} = f\left(\text{Receptor  Integrity}_{CSF3R/CXCR4},\ \text{Metabolic  Support}_{\text{LC-MS}},\ \text{Stem Cell  Reserve}_{\text{Karyotype}}\right)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66357421875" w:line="240" w:lineRule="auto"/>
        <w:ind w:left="39.50000762939453"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9787597656" w:lineRule="auto"/>
        <w:ind w:left="733.3416748046875" w:right="94.16015625" w:firstLine="19.000015258789062"/>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Environmental Priming: Before signaling the  marrow to produce cells, the framework  addresses metabolic bottlenecks revealed by  chromatography—modulating catabolic  stress signals (cortisol) and clearing  inflammatory cytokines.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94873046875" w:line="240" w:lineRule="auto"/>
        <w:ind w:left="20.99998474121093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416519165039"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Precision Signal Calibration: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6474609375" w:line="318.96331787109375" w:lineRule="auto"/>
        <w:ind w:left="1427.5" w:right="213.502197265625" w:firstLine="1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If </w:t>
      </w:r>
      <w:r w:rsidDel="00000000" w:rsidR="00000000" w:rsidRPr="00000000">
        <w:rPr>
          <w:rFonts w:ascii="Roboto" w:cs="Roboto" w:eastAsia="Roboto" w:hAnsi="Roboto"/>
          <w:b w:val="0"/>
          <w:bCs w:val="0"/>
          <w:i w:val="0"/>
          <w:iCs w:val="0"/>
          <w:smallCaps w:val="0"/>
          <w:strike w:val="0"/>
          <w:color w:val="262626"/>
          <w:sz w:val="50.763580322265625"/>
          <w:szCs w:val="50.763580322265625"/>
          <w:u w:val="none"/>
          <w:shd w:fill="auto" w:val="clear"/>
          <w:vertAlign w:val="baseline"/>
          <w:rtl w:val="0"/>
        </w:rPr>
        <w:t xml:space="preserve">CSF3R </w:t>
      </w: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receptors are sensitive and  karyotypic stability is high, micro-dosed G CSF or targeted agonist signals are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94873046875" w:line="240" w:lineRule="auto"/>
        <w:ind w:left="1432.5000381469727"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introduced to stimulate controlled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9993896484375" w:line="319.8720073699951" w:lineRule="auto"/>
        <w:ind w:left="1439.4999694824219" w:right="970.5029296875" w:hanging="17.99987792968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granulopoiesis without exhausting the  HSC pool.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420.5000305175781" w:right="694.501953125" w:firstLine="21.999969482421875"/>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If the patient exhibits myeloid bias or  altered receptor sensitivity, signaling is  adjusted to prioritize quality maturation  over raw cell quantity, preventing the  release of dysfunctional, short-lived  neutrophils.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009765625" w:line="240" w:lineRule="auto"/>
        <w:ind w:left="20.999984741210938"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3416061401367" w:right="0" w:firstLine="0"/>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Closed-Loop Feedback: Real-time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0244140625" w:line="319.8720073699951" w:lineRule="auto"/>
        <w:ind w:left="744.8416137695312" w:right="572.6611328125" w:hanging="11.500015258789062"/>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chromatograms monitor whether new  neutrophils are executing proper functional  markers or if the marrow is dropping back  into an exhausted state.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0009765625" w:line="342.08544731140137" w:lineRule="auto"/>
        <w:ind w:left="10" w:right="677.003173828125" w:firstLine="2.9999923706054688"/>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Why PYE H-B Alters Neutropenia Management Traditional clinical care often reacts to severe  neutropenia by flooding the system with max dose G-CSF to force cell counts up.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021484375" w:line="319.8720073699951" w:lineRule="auto"/>
        <w:ind w:left="20.999984741210938" w:right="553.88671875" w:firstLine="11.000022888183594"/>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Under the PYE H-B Architecture, clinicians first  determine whether the marrow hardware can  safely handle the signal, clear the metabolic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26140785217285" w:lineRule="auto"/>
        <w:ind w:left="20.49999237060547" w:right="6.50146484375" w:firstLine="11.500015258789062"/>
        <w:jc w:val="left"/>
        <w:rPr>
          <w:rFonts w:ascii="Roboto" w:cs="Roboto" w:eastAsia="Roboto" w:hAnsi="Roboto"/>
          <w:b w:val="0"/>
          <w:bCs w:val="0"/>
          <w:i w:val="0"/>
          <w:iCs w:val="0"/>
          <w:smallCaps w:val="0"/>
          <w:strike w:val="0"/>
          <w:color w:val="262626"/>
          <w:sz w:val="50.000003814697266"/>
          <w:szCs w:val="50.000003814697266"/>
          <w:u w:val="none"/>
          <w:shd w:fill="auto" w:val="clear"/>
          <w:vertAlign w:val="baseline"/>
        </w:rPr>
      </w:pP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bottlenecks in the local environment, and  calibrate the central signal to match the patient's  biological age and receptor sensitivity. This  minimizes the risk of stem cell burnout while  maximizing functional neutrophil output against  opportunistic threats like </w:t>
      </w:r>
      <w:r w:rsidDel="00000000" w:rsidR="00000000" w:rsidRPr="00000000">
        <w:rPr>
          <w:rFonts w:ascii="Roboto" w:cs="Roboto" w:eastAsia="Roboto" w:hAnsi="Roboto"/>
          <w:b w:val="0"/>
          <w:bCs w:val="0"/>
          <w:i w:val="0"/>
          <w:iCs w:val="0"/>
          <w:smallCaps w:val="0"/>
          <w:strike w:val="0"/>
          <w:color w:val="262626"/>
          <w:sz w:val="50.763580322265625"/>
          <w:szCs w:val="50.763580322265625"/>
          <w:u w:val="none"/>
          <w:shd w:fill="auto" w:val="clear"/>
          <w:vertAlign w:val="baseline"/>
          <w:rtl w:val="0"/>
        </w:rPr>
        <w:t xml:space="preserve">Candida auris</w:t>
      </w:r>
      <w:r w:rsidDel="00000000" w:rsidR="00000000" w:rsidRPr="00000000">
        <w:rPr>
          <w:rFonts w:ascii="Roboto" w:cs="Roboto" w:eastAsia="Roboto" w:hAnsi="Roboto"/>
          <w:b w:val="0"/>
          <w:bCs w:val="0"/>
          <w:i w:val="0"/>
          <w:iCs w:val="0"/>
          <w:smallCaps w:val="0"/>
          <w:strike w:val="0"/>
          <w:color w:val="262626"/>
          <w:sz w:val="50.000003814697266"/>
          <w:szCs w:val="50.000003814697266"/>
          <w:u w:val="none"/>
          <w:shd w:fill="auto" w:val="clear"/>
          <w:vertAlign w:val="baseline"/>
          <w:rtl w:val="0"/>
        </w:rPr>
        <w:t xml:space="preserve">.</w:t>
      </w:r>
    </w:p>
    <w:sectPr>
      <w:pgSz w:h="16960" w:w="12000" w:orient="portrait"/>
      <w:pgMar w:bottom="534.998779296875" w:top="450.6982421875" w:left="535.333366394043" w:right="534.16381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