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57001" w14:textId="77777777" w:rsidR="00D50B14" w:rsidRDefault="00DE6AEC">
      <w:pPr>
        <w:spacing w:after="240"/>
        <w:jc w:val="center"/>
      </w:pPr>
      <w:r>
        <w:rPr>
          <w:rFonts w:ascii="Arial" w:hAnsi="Arial"/>
          <w:b/>
          <w:color w:val="000000"/>
          <w:sz w:val="32"/>
        </w:rPr>
        <w:t>Customer Analytics &amp; RFM Segmentation Final Written Report</w:t>
      </w:r>
    </w:p>
    <w:p w14:paraId="6B86BDE9" w14:textId="77777777" w:rsidR="00D50B14" w:rsidRDefault="00DE6AEC">
      <w:pPr>
        <w:keepNext/>
        <w:spacing w:before="240" w:after="80"/>
      </w:pPr>
      <w:r>
        <w:rPr>
          <w:rFonts w:ascii="Arial" w:hAnsi="Arial"/>
          <w:b/>
          <w:color w:val="000000"/>
          <w:sz w:val="24"/>
        </w:rPr>
        <w:t>1. Executive Summary &amp; Problem Statement</w:t>
      </w:r>
    </w:p>
    <w:p w14:paraId="2B3094E6" w14:textId="77777777" w:rsidR="00D50B14" w:rsidRDefault="00DE6AEC">
      <w:pPr>
        <w:spacing w:after="80"/>
      </w:pPr>
      <w:r>
        <w:rPr>
          <w:rFonts w:ascii="Arial" w:hAnsi="Arial"/>
          <w:color w:val="000000"/>
          <w:sz w:val="21"/>
        </w:rPr>
        <w:t>Many e-commerce businesses struggle with high customer acquisition costs and low repeat purchase rates. Usually, there is a lack of visibility for marketing teams into customer behaviors after that initial transaction. This leads to inefficient spending on retention and generic marketing campaigns.</w:t>
      </w:r>
    </w:p>
    <w:p w14:paraId="01CCFBC6" w14:textId="77777777" w:rsidR="00D50B14" w:rsidRDefault="00DE6AEC">
      <w:pPr>
        <w:spacing w:after="80"/>
      </w:pPr>
      <w:r>
        <w:rPr>
          <w:rFonts w:ascii="Arial" w:hAnsi="Arial"/>
          <w:color w:val="000000"/>
          <w:sz w:val="21"/>
        </w:rPr>
        <w:t>This capstone project addresses this challenge by developing an end-to-end customer analytics pipeline and an interactive Power BI dashboard. Using Recency, Frequency, and Monetary (RFM) Scoring, raw transaction data was converted into actionable customer groups to fuel retention strategies and maximize marketing Return-on-Investment (ROI).</w:t>
      </w:r>
    </w:p>
    <w:p w14:paraId="2FE38198" w14:textId="77777777" w:rsidR="00D50B14" w:rsidRDefault="00DE6AEC">
      <w:pPr>
        <w:keepNext/>
        <w:spacing w:before="160" w:after="40"/>
      </w:pPr>
      <w:r>
        <w:rPr>
          <w:rFonts w:ascii="Arial" w:hAnsi="Arial"/>
          <w:b/>
          <w:color w:val="000000"/>
        </w:rPr>
        <w:t>Key Performance Indicators (KPIs)</w:t>
      </w:r>
    </w:p>
    <w:p w14:paraId="45EF7392" w14:textId="77777777" w:rsidR="00D50B14" w:rsidRDefault="00DE6AEC">
      <w:pPr>
        <w:pStyle w:val="ListBullet"/>
        <w:spacing w:after="60"/>
      </w:pPr>
      <w:r>
        <w:rPr>
          <w:rFonts w:ascii="Arial" w:hAnsi="Arial"/>
          <w:b/>
          <w:color w:val="000000"/>
          <w:sz w:val="21"/>
        </w:rPr>
        <w:t xml:space="preserve">Total Store Revenue: </w:t>
      </w:r>
      <w:r>
        <w:rPr>
          <w:rFonts w:ascii="Arial" w:hAnsi="Arial"/>
          <w:color w:val="000000"/>
          <w:sz w:val="21"/>
        </w:rPr>
        <w:t>$8.91M across 18,532 completed orders.</w:t>
      </w:r>
    </w:p>
    <w:p w14:paraId="0E31803C" w14:textId="77777777" w:rsidR="00D50B14" w:rsidRDefault="00DE6AEC">
      <w:pPr>
        <w:pStyle w:val="ListBullet"/>
        <w:spacing w:after="60"/>
      </w:pPr>
      <w:r>
        <w:rPr>
          <w:rFonts w:ascii="Arial" w:hAnsi="Arial"/>
          <w:b/>
          <w:color w:val="000000"/>
          <w:sz w:val="21"/>
        </w:rPr>
        <w:t xml:space="preserve">Active Customer Base: </w:t>
      </w:r>
      <w:r>
        <w:rPr>
          <w:rFonts w:ascii="Arial" w:hAnsi="Arial"/>
          <w:color w:val="000000"/>
          <w:sz w:val="21"/>
        </w:rPr>
        <w:t>4,338 unique buyers evaluated.</w:t>
      </w:r>
    </w:p>
    <w:p w14:paraId="1C112942" w14:textId="77777777" w:rsidR="00D50B14" w:rsidRDefault="00DE6AEC">
      <w:pPr>
        <w:pStyle w:val="ListBullet"/>
        <w:spacing w:after="60"/>
      </w:pPr>
      <w:r>
        <w:rPr>
          <w:rFonts w:ascii="Arial" w:hAnsi="Arial"/>
          <w:b/>
          <w:color w:val="000000"/>
          <w:sz w:val="21"/>
        </w:rPr>
        <w:t xml:space="preserve">Core VIP Concentration: </w:t>
      </w:r>
      <w:r>
        <w:rPr>
          <w:rFonts w:ascii="Arial" w:hAnsi="Arial"/>
          <w:color w:val="000000"/>
          <w:sz w:val="21"/>
        </w:rPr>
        <w:t>1,268 VIP / Champion customers (~29.23% of customer base) generated $6.84M, accounting for ~76.8% of total store revenue.</w:t>
      </w:r>
    </w:p>
    <w:p w14:paraId="596889F0" w14:textId="77777777" w:rsidR="00D50B14" w:rsidRDefault="00DE6AEC">
      <w:pPr>
        <w:keepNext/>
        <w:spacing w:before="240" w:after="80"/>
      </w:pPr>
      <w:r>
        <w:rPr>
          <w:rFonts w:ascii="Arial" w:hAnsi="Arial"/>
          <w:b/>
          <w:color w:val="000000"/>
          <w:sz w:val="24"/>
        </w:rPr>
        <w:t>2. Methodology &amp; Data Analytics Pipeline</w:t>
      </w:r>
    </w:p>
    <w:p w14:paraId="1A80A889" w14:textId="77777777" w:rsidR="00D50B14" w:rsidRDefault="00DE6AEC">
      <w:pPr>
        <w:keepNext/>
        <w:spacing w:before="160" w:after="40"/>
      </w:pPr>
      <w:r>
        <w:rPr>
          <w:rFonts w:ascii="Arial" w:hAnsi="Arial"/>
          <w:b/>
          <w:color w:val="000000"/>
        </w:rPr>
        <w:t>Data Cleaning &amp; ETL</w:t>
      </w:r>
    </w:p>
    <w:p w14:paraId="54CE5C45" w14:textId="77777777" w:rsidR="00D50B14" w:rsidRDefault="00DE6AEC">
      <w:pPr>
        <w:spacing w:after="80"/>
      </w:pPr>
      <w:r>
        <w:rPr>
          <w:rFonts w:ascii="Arial" w:hAnsi="Arial"/>
          <w:color w:val="000000"/>
          <w:sz w:val="21"/>
        </w:rPr>
        <w:t>Raw transactional logs (online_retail_cleaned.csv) were ingested and processed using Python (Pandas) inside a Jupyter Notebook (C&amp;C Analytics.ipynb). Key data quality risks addressed include:</w:t>
      </w:r>
    </w:p>
    <w:p w14:paraId="0BB6AE5E" w14:textId="77777777" w:rsidR="00D50B14" w:rsidRDefault="00DE6AEC">
      <w:pPr>
        <w:pStyle w:val="ListBullet"/>
        <w:spacing w:after="60"/>
      </w:pPr>
      <w:r>
        <w:rPr>
          <w:rFonts w:ascii="Arial" w:hAnsi="Arial"/>
          <w:b/>
          <w:color w:val="000000"/>
          <w:sz w:val="21"/>
        </w:rPr>
        <w:t xml:space="preserve">1. Missing Customer Identifiers: </w:t>
      </w:r>
      <w:r>
        <w:rPr>
          <w:rFonts w:ascii="Arial" w:hAnsi="Arial"/>
          <w:color w:val="000000"/>
          <w:sz w:val="21"/>
        </w:rPr>
        <w:t>Removed unassigned transactional records.</w:t>
      </w:r>
    </w:p>
    <w:p w14:paraId="7A4C03D1" w14:textId="77777777" w:rsidR="00D50B14" w:rsidRDefault="00DE6AEC">
      <w:pPr>
        <w:pStyle w:val="ListBullet"/>
        <w:spacing w:after="60"/>
      </w:pPr>
      <w:r>
        <w:rPr>
          <w:rFonts w:ascii="Arial" w:hAnsi="Arial"/>
          <w:b/>
          <w:color w:val="000000"/>
          <w:sz w:val="21"/>
        </w:rPr>
        <w:t xml:space="preserve">2. Duplicate Records: </w:t>
      </w:r>
      <w:r>
        <w:rPr>
          <w:rFonts w:ascii="Arial" w:hAnsi="Arial"/>
          <w:color w:val="000000"/>
          <w:sz w:val="21"/>
        </w:rPr>
        <w:t>Deduplicated order entries across product line logs.</w:t>
      </w:r>
    </w:p>
    <w:p w14:paraId="513B678E" w14:textId="77777777" w:rsidR="00D50B14" w:rsidRDefault="00DE6AEC">
      <w:pPr>
        <w:pStyle w:val="ListBullet"/>
        <w:spacing w:after="60"/>
      </w:pPr>
      <w:r>
        <w:rPr>
          <w:rFonts w:ascii="Arial" w:hAnsi="Arial"/>
          <w:b/>
          <w:color w:val="000000"/>
          <w:sz w:val="21"/>
        </w:rPr>
        <w:t xml:space="preserve">3. Order Cancellations: </w:t>
      </w:r>
      <w:r>
        <w:rPr>
          <w:rFonts w:ascii="Arial" w:hAnsi="Arial"/>
          <w:color w:val="000000"/>
          <w:sz w:val="21"/>
        </w:rPr>
        <w:t>Filtered out negative quantities and price anomalies.</w:t>
      </w:r>
    </w:p>
    <w:p w14:paraId="6F008B86" w14:textId="77777777" w:rsidR="00D50B14" w:rsidRDefault="00DE6AEC">
      <w:pPr>
        <w:keepNext/>
        <w:spacing w:before="160" w:after="40"/>
      </w:pPr>
      <w:r>
        <w:rPr>
          <w:rFonts w:ascii="Arial" w:hAnsi="Arial"/>
          <w:b/>
          <w:color w:val="000000"/>
        </w:rPr>
        <w:t>RFM Scoring Framework</w:t>
      </w:r>
    </w:p>
    <w:p w14:paraId="02F584D3" w14:textId="77777777" w:rsidR="00D50B14" w:rsidRDefault="00DE6AEC">
      <w:pPr>
        <w:pStyle w:val="ListBullet"/>
        <w:spacing w:after="60"/>
      </w:pPr>
      <w:r>
        <w:rPr>
          <w:rFonts w:ascii="Arial" w:hAnsi="Arial"/>
          <w:b/>
          <w:color w:val="000000"/>
          <w:sz w:val="21"/>
        </w:rPr>
        <w:t xml:space="preserve">Recency (R): </w:t>
      </w:r>
      <w:r>
        <w:rPr>
          <w:rFonts w:ascii="Arial" w:hAnsi="Arial"/>
          <w:color w:val="000000"/>
          <w:sz w:val="21"/>
        </w:rPr>
        <w:t>Number of days since the customer's last purchase relative to the maximum dataset date.</w:t>
      </w:r>
    </w:p>
    <w:p w14:paraId="1FF550EC" w14:textId="77777777" w:rsidR="00D50B14" w:rsidRDefault="00DE6AEC">
      <w:pPr>
        <w:pStyle w:val="ListBullet"/>
        <w:spacing w:after="60"/>
      </w:pPr>
      <w:r>
        <w:rPr>
          <w:rFonts w:ascii="Arial" w:hAnsi="Arial"/>
          <w:b/>
          <w:color w:val="000000"/>
          <w:sz w:val="21"/>
        </w:rPr>
        <w:t xml:space="preserve">Frequency (F): </w:t>
      </w:r>
      <w:r>
        <w:rPr>
          <w:rFonts w:ascii="Arial" w:hAnsi="Arial"/>
          <w:color w:val="000000"/>
          <w:sz w:val="21"/>
        </w:rPr>
        <w:t>Total count of unique completed orders placed by the customer.</w:t>
      </w:r>
    </w:p>
    <w:p w14:paraId="212E1F0B" w14:textId="77777777" w:rsidR="00D50B14" w:rsidRDefault="00DE6AEC">
      <w:pPr>
        <w:pStyle w:val="ListBullet"/>
        <w:spacing w:after="60"/>
      </w:pPr>
      <w:r>
        <w:rPr>
          <w:rFonts w:ascii="Arial" w:hAnsi="Arial"/>
          <w:b/>
          <w:color w:val="000000"/>
          <w:sz w:val="21"/>
        </w:rPr>
        <w:t xml:space="preserve">Monetary (M): </w:t>
      </w:r>
      <w:r>
        <w:rPr>
          <w:rFonts w:ascii="Arial" w:hAnsi="Arial"/>
          <w:color w:val="000000"/>
          <w:sz w:val="21"/>
        </w:rPr>
        <w:t>Total monetary expenditure summed across all transactions.</w:t>
      </w:r>
    </w:p>
    <w:p w14:paraId="0169A10C" w14:textId="77777777" w:rsidR="00D50B14" w:rsidRDefault="00DE6AEC">
      <w:pPr>
        <w:spacing w:after="80"/>
      </w:pPr>
      <w:r>
        <w:rPr>
          <w:rFonts w:ascii="Arial" w:hAnsi="Arial"/>
          <w:color w:val="000000"/>
          <w:sz w:val="21"/>
        </w:rPr>
        <w:t>Each customer was assigned a quintile score (1–5) across R, F, and M dimensions to categorize them into four primary business segments:</w:t>
      </w:r>
    </w:p>
    <w:tbl>
      <w:tblPr>
        <w:tblW w:w="0" w:type="auto"/>
        <w:jc w:val="center"/>
        <w:tblLayout w:type="fixed"/>
        <w:tblLook w:val="04A0" w:firstRow="1" w:lastRow="0" w:firstColumn="1" w:lastColumn="0" w:noHBand="0" w:noVBand="1"/>
      </w:tblPr>
      <w:tblGrid>
        <w:gridCol w:w="2160"/>
        <w:gridCol w:w="1584"/>
        <w:gridCol w:w="1296"/>
        <w:gridCol w:w="4320"/>
      </w:tblGrid>
      <w:tr w:rsidR="00D50B14" w14:paraId="76BBE796" w14:textId="77777777">
        <w:trPr>
          <w:jc w:val="center"/>
        </w:trPr>
        <w:tc>
          <w:tcPr>
            <w:tcW w:w="2160" w:type="dxa"/>
          </w:tcPr>
          <w:p w14:paraId="4C53F7BD" w14:textId="77777777" w:rsidR="00D50B14" w:rsidRDefault="00DE6AEC">
            <w:r>
              <w:rPr>
                <w:rFonts w:ascii="Arial" w:hAnsi="Arial"/>
                <w:b/>
                <w:color w:val="000000"/>
                <w:sz w:val="20"/>
              </w:rPr>
              <w:t>RFM Segment</w:t>
            </w:r>
          </w:p>
        </w:tc>
        <w:tc>
          <w:tcPr>
            <w:tcW w:w="1584" w:type="dxa"/>
          </w:tcPr>
          <w:p w14:paraId="4C53F835" w14:textId="77777777" w:rsidR="00D50B14" w:rsidRDefault="00DE6AEC">
            <w:pPr>
              <w:jc w:val="center"/>
            </w:pPr>
            <w:r>
              <w:rPr>
                <w:rFonts w:ascii="Arial" w:hAnsi="Arial"/>
                <w:b/>
                <w:color w:val="000000"/>
                <w:sz w:val="20"/>
              </w:rPr>
              <w:t>Customer Count</w:t>
            </w:r>
          </w:p>
        </w:tc>
        <w:tc>
          <w:tcPr>
            <w:tcW w:w="1296" w:type="dxa"/>
          </w:tcPr>
          <w:p w14:paraId="4C65F9CC" w14:textId="77777777" w:rsidR="00D50B14" w:rsidRDefault="00DE6AEC">
            <w:pPr>
              <w:jc w:val="center"/>
            </w:pPr>
            <w:r>
              <w:rPr>
                <w:rFonts w:ascii="Arial" w:hAnsi="Arial"/>
                <w:b/>
                <w:color w:val="000000"/>
                <w:sz w:val="20"/>
              </w:rPr>
              <w:t>Share (%)</w:t>
            </w:r>
          </w:p>
        </w:tc>
        <w:tc>
          <w:tcPr>
            <w:tcW w:w="4320" w:type="dxa"/>
          </w:tcPr>
          <w:p w14:paraId="7F2CDA34" w14:textId="77777777" w:rsidR="00D50B14" w:rsidRDefault="00DE6AEC">
            <w:r>
              <w:rPr>
                <w:rFonts w:ascii="Arial" w:hAnsi="Arial"/>
                <w:b/>
                <w:color w:val="000000"/>
                <w:sz w:val="20"/>
              </w:rPr>
              <w:t>Strategic Action</w:t>
            </w:r>
          </w:p>
        </w:tc>
      </w:tr>
      <w:tr w:rsidR="00D50B14" w14:paraId="4E3A3247" w14:textId="77777777">
        <w:trPr>
          <w:jc w:val="center"/>
        </w:trPr>
        <w:tc>
          <w:tcPr>
            <w:tcW w:w="2160" w:type="dxa"/>
          </w:tcPr>
          <w:p w14:paraId="21B05882" w14:textId="77777777" w:rsidR="00D50B14" w:rsidRDefault="00DE6AEC">
            <w:r>
              <w:rPr>
                <w:rFonts w:ascii="Arial" w:hAnsi="Arial"/>
                <w:color w:val="000000"/>
                <w:sz w:val="19"/>
              </w:rPr>
              <w:t>VIP / Champions</w:t>
            </w:r>
          </w:p>
        </w:tc>
        <w:tc>
          <w:tcPr>
            <w:tcW w:w="1584" w:type="dxa"/>
          </w:tcPr>
          <w:p w14:paraId="0540462D" w14:textId="77777777" w:rsidR="00D50B14" w:rsidRDefault="00DE6AEC">
            <w:pPr>
              <w:jc w:val="center"/>
            </w:pPr>
            <w:r>
              <w:rPr>
                <w:rFonts w:ascii="Arial" w:hAnsi="Arial"/>
                <w:color w:val="000000"/>
                <w:sz w:val="19"/>
              </w:rPr>
              <w:t>1,268</w:t>
            </w:r>
          </w:p>
        </w:tc>
        <w:tc>
          <w:tcPr>
            <w:tcW w:w="1296" w:type="dxa"/>
          </w:tcPr>
          <w:p w14:paraId="0DD0E2C0" w14:textId="77777777" w:rsidR="00D50B14" w:rsidRDefault="00DE6AEC">
            <w:pPr>
              <w:jc w:val="center"/>
            </w:pPr>
            <w:r>
              <w:rPr>
                <w:rFonts w:ascii="Arial" w:hAnsi="Arial"/>
                <w:color w:val="000000"/>
                <w:sz w:val="19"/>
              </w:rPr>
              <w:t>29.23%</w:t>
            </w:r>
          </w:p>
        </w:tc>
        <w:tc>
          <w:tcPr>
            <w:tcW w:w="4320" w:type="dxa"/>
          </w:tcPr>
          <w:p w14:paraId="21978E48" w14:textId="77777777" w:rsidR="00D50B14" w:rsidRDefault="00DE6AEC">
            <w:r>
              <w:rPr>
                <w:rFonts w:ascii="Arial" w:hAnsi="Arial"/>
                <w:color w:val="000000"/>
                <w:sz w:val="19"/>
              </w:rPr>
              <w:t>Loyalty rewards, early access, VIP concierge service</w:t>
            </w:r>
          </w:p>
        </w:tc>
      </w:tr>
      <w:tr w:rsidR="00D50B14" w14:paraId="1507FEB8" w14:textId="77777777">
        <w:trPr>
          <w:jc w:val="center"/>
        </w:trPr>
        <w:tc>
          <w:tcPr>
            <w:tcW w:w="2160" w:type="dxa"/>
          </w:tcPr>
          <w:p w14:paraId="29A7AAA1" w14:textId="77777777" w:rsidR="00D50B14" w:rsidRDefault="00DE6AEC">
            <w:r>
              <w:rPr>
                <w:rFonts w:ascii="Arial" w:hAnsi="Arial"/>
                <w:color w:val="000000"/>
                <w:sz w:val="19"/>
              </w:rPr>
              <w:t>Lost / Hibernating</w:t>
            </w:r>
          </w:p>
        </w:tc>
        <w:tc>
          <w:tcPr>
            <w:tcW w:w="1584" w:type="dxa"/>
          </w:tcPr>
          <w:p w14:paraId="2049BE5A" w14:textId="77777777" w:rsidR="00D50B14" w:rsidRDefault="00DE6AEC">
            <w:pPr>
              <w:jc w:val="center"/>
            </w:pPr>
            <w:r>
              <w:rPr>
                <w:rFonts w:ascii="Arial" w:hAnsi="Arial"/>
                <w:color w:val="000000"/>
                <w:sz w:val="19"/>
              </w:rPr>
              <w:t>1,290</w:t>
            </w:r>
          </w:p>
        </w:tc>
        <w:tc>
          <w:tcPr>
            <w:tcW w:w="1296" w:type="dxa"/>
          </w:tcPr>
          <w:p w14:paraId="481850B2" w14:textId="77777777" w:rsidR="00D50B14" w:rsidRDefault="00DE6AEC">
            <w:pPr>
              <w:jc w:val="center"/>
            </w:pPr>
            <w:r>
              <w:rPr>
                <w:rFonts w:ascii="Arial" w:hAnsi="Arial"/>
                <w:color w:val="000000"/>
                <w:sz w:val="19"/>
              </w:rPr>
              <w:t>29.76%</w:t>
            </w:r>
          </w:p>
        </w:tc>
        <w:tc>
          <w:tcPr>
            <w:tcW w:w="4320" w:type="dxa"/>
          </w:tcPr>
          <w:p w14:paraId="67DC99DF" w14:textId="77777777" w:rsidR="00D50B14" w:rsidRDefault="00DE6AEC">
            <w:r>
              <w:rPr>
                <w:rFonts w:ascii="Arial" w:hAnsi="Arial"/>
                <w:color w:val="000000"/>
                <w:sz w:val="19"/>
              </w:rPr>
              <w:t>Automated low-cost win-back email sequences</w:t>
            </w:r>
          </w:p>
        </w:tc>
      </w:tr>
      <w:tr w:rsidR="00D50B14" w14:paraId="1897BBB0" w14:textId="77777777">
        <w:trPr>
          <w:jc w:val="center"/>
        </w:trPr>
        <w:tc>
          <w:tcPr>
            <w:tcW w:w="2160" w:type="dxa"/>
          </w:tcPr>
          <w:p w14:paraId="6EC3923C" w14:textId="77777777" w:rsidR="00D50B14" w:rsidRDefault="00DE6AEC">
            <w:r>
              <w:rPr>
                <w:rFonts w:ascii="Arial" w:hAnsi="Arial"/>
                <w:color w:val="000000"/>
                <w:sz w:val="19"/>
              </w:rPr>
              <w:lastRenderedPageBreak/>
              <w:t>At-Risk / Need Attention</w:t>
            </w:r>
          </w:p>
        </w:tc>
        <w:tc>
          <w:tcPr>
            <w:tcW w:w="1584" w:type="dxa"/>
          </w:tcPr>
          <w:p w14:paraId="5FCE0D3E" w14:textId="77777777" w:rsidR="00D50B14" w:rsidRDefault="00DE6AEC">
            <w:pPr>
              <w:jc w:val="center"/>
            </w:pPr>
            <w:r>
              <w:rPr>
                <w:rFonts w:ascii="Arial" w:hAnsi="Arial"/>
                <w:color w:val="000000"/>
                <w:sz w:val="19"/>
              </w:rPr>
              <w:t>940</w:t>
            </w:r>
          </w:p>
        </w:tc>
        <w:tc>
          <w:tcPr>
            <w:tcW w:w="1296" w:type="dxa"/>
          </w:tcPr>
          <w:p w14:paraId="7EDEF0B1" w14:textId="77777777" w:rsidR="00D50B14" w:rsidRDefault="00DE6AEC">
            <w:pPr>
              <w:jc w:val="center"/>
            </w:pPr>
            <w:r>
              <w:rPr>
                <w:rFonts w:ascii="Arial" w:hAnsi="Arial"/>
                <w:color w:val="000000"/>
                <w:sz w:val="19"/>
              </w:rPr>
              <w:t>21.58%</w:t>
            </w:r>
          </w:p>
        </w:tc>
        <w:tc>
          <w:tcPr>
            <w:tcW w:w="4320" w:type="dxa"/>
          </w:tcPr>
          <w:p w14:paraId="49C4A917" w14:textId="77777777" w:rsidR="00D50B14" w:rsidRDefault="00DE6AEC">
            <w:r>
              <w:rPr>
                <w:rFonts w:ascii="Arial" w:hAnsi="Arial"/>
                <w:color w:val="000000"/>
                <w:sz w:val="19"/>
              </w:rPr>
              <w:t>Targeted win-back discount offers before complete churn</w:t>
            </w:r>
          </w:p>
        </w:tc>
      </w:tr>
      <w:tr w:rsidR="00D50B14" w14:paraId="41D44F32" w14:textId="77777777">
        <w:trPr>
          <w:jc w:val="center"/>
        </w:trPr>
        <w:tc>
          <w:tcPr>
            <w:tcW w:w="2160" w:type="dxa"/>
          </w:tcPr>
          <w:p w14:paraId="10080ABC" w14:textId="77777777" w:rsidR="00D50B14" w:rsidRDefault="00DE6AEC">
            <w:r>
              <w:rPr>
                <w:rFonts w:ascii="Arial" w:hAnsi="Arial"/>
                <w:color w:val="000000"/>
                <w:sz w:val="19"/>
              </w:rPr>
              <w:t>Loyal Customers</w:t>
            </w:r>
          </w:p>
        </w:tc>
        <w:tc>
          <w:tcPr>
            <w:tcW w:w="1584" w:type="dxa"/>
          </w:tcPr>
          <w:p w14:paraId="1F907FD4" w14:textId="77777777" w:rsidR="00D50B14" w:rsidRDefault="00DE6AEC">
            <w:pPr>
              <w:jc w:val="center"/>
            </w:pPr>
            <w:r>
              <w:rPr>
                <w:rFonts w:ascii="Arial" w:hAnsi="Arial"/>
                <w:color w:val="000000"/>
                <w:sz w:val="19"/>
              </w:rPr>
              <w:t>840</w:t>
            </w:r>
          </w:p>
        </w:tc>
        <w:tc>
          <w:tcPr>
            <w:tcW w:w="1296" w:type="dxa"/>
          </w:tcPr>
          <w:p w14:paraId="05849DF8" w14:textId="77777777" w:rsidR="00D50B14" w:rsidRDefault="00DE6AEC">
            <w:pPr>
              <w:jc w:val="center"/>
            </w:pPr>
            <w:r>
              <w:rPr>
                <w:rFonts w:ascii="Arial" w:hAnsi="Arial"/>
                <w:color w:val="000000"/>
                <w:sz w:val="19"/>
              </w:rPr>
              <w:t>19.43%</w:t>
            </w:r>
          </w:p>
        </w:tc>
        <w:tc>
          <w:tcPr>
            <w:tcW w:w="4320" w:type="dxa"/>
          </w:tcPr>
          <w:p w14:paraId="4BACDE2D" w14:textId="77777777" w:rsidR="00D50B14" w:rsidRDefault="00DE6AEC">
            <w:r>
              <w:rPr>
                <w:rFonts w:ascii="Arial" w:hAnsi="Arial"/>
                <w:color w:val="000000"/>
                <w:sz w:val="19"/>
              </w:rPr>
              <w:t>Cross-selling and upselling higher-margin products</w:t>
            </w:r>
          </w:p>
        </w:tc>
      </w:tr>
    </w:tbl>
    <w:p w14:paraId="08EF0BC2" w14:textId="77777777" w:rsidR="00D50B14" w:rsidRDefault="00DE6AEC">
      <w:pPr>
        <w:keepNext/>
        <w:spacing w:before="240" w:after="80"/>
      </w:pPr>
      <w:r>
        <w:rPr>
          <w:rFonts w:ascii="Arial" w:hAnsi="Arial"/>
          <w:b/>
          <w:color w:val="000000"/>
          <w:sz w:val="24"/>
        </w:rPr>
        <w:t>3. Dashboard Architecture &amp; Interactive Validation</w:t>
      </w:r>
    </w:p>
    <w:p w14:paraId="55A2B5BE" w14:textId="77777777" w:rsidR="00D50B14" w:rsidRDefault="00DE6AEC">
      <w:pPr>
        <w:spacing w:after="80"/>
      </w:pPr>
      <w:r>
        <w:rPr>
          <w:rFonts w:ascii="Arial" w:hAnsi="Arial"/>
          <w:color w:val="000000"/>
          <w:sz w:val="21"/>
        </w:rPr>
        <w:t>The production dashboard (Customer_Analytics_Dashboard.pbix) translates backend analytics into an interactive visual reporting interface.</w:t>
      </w:r>
    </w:p>
    <w:p w14:paraId="5E231090" w14:textId="77777777" w:rsidR="00D50B14" w:rsidRDefault="00DE6AEC">
      <w:pPr>
        <w:keepNext/>
        <w:spacing w:before="160" w:after="40"/>
      </w:pPr>
      <w:r>
        <w:rPr>
          <w:rFonts w:ascii="Arial" w:hAnsi="Arial"/>
          <w:b/>
          <w:color w:val="000000"/>
        </w:rPr>
        <w:t>Key Dashboard Components</w:t>
      </w:r>
    </w:p>
    <w:p w14:paraId="023F5CA7" w14:textId="77777777" w:rsidR="00D50B14" w:rsidRDefault="00DE6AEC">
      <w:pPr>
        <w:pStyle w:val="ListBullet"/>
        <w:spacing w:after="60"/>
      </w:pPr>
      <w:r>
        <w:rPr>
          <w:rFonts w:ascii="Arial" w:hAnsi="Arial"/>
          <w:b/>
          <w:color w:val="000000"/>
          <w:sz w:val="21"/>
        </w:rPr>
        <w:t xml:space="preserve">Top Metrics KPI Cards: </w:t>
      </w:r>
      <w:r>
        <w:rPr>
          <w:rFonts w:ascii="Arial" w:hAnsi="Arial"/>
          <w:color w:val="000000"/>
          <w:sz w:val="21"/>
        </w:rPr>
        <w:t>Real-time display of Total Revenue ($8.91M), Total Orders (18.53K), and Customer Count (4.338K).</w:t>
      </w:r>
    </w:p>
    <w:p w14:paraId="53D21B34" w14:textId="77777777" w:rsidR="00D50B14" w:rsidRDefault="00DE6AEC">
      <w:pPr>
        <w:pStyle w:val="ListBullet"/>
        <w:spacing w:after="60"/>
      </w:pPr>
      <w:r>
        <w:rPr>
          <w:rFonts w:ascii="Arial" w:hAnsi="Arial"/>
          <w:b/>
          <w:color w:val="000000"/>
          <w:sz w:val="21"/>
        </w:rPr>
        <w:t xml:space="preserve">Interactive Segment Slicer: </w:t>
      </w:r>
      <w:r>
        <w:rPr>
          <w:rFonts w:ascii="Arial" w:hAnsi="Arial"/>
          <w:color w:val="000000"/>
          <w:sz w:val="21"/>
        </w:rPr>
        <w:t>Enables cross-filtering across all visual elements.</w:t>
      </w:r>
    </w:p>
    <w:p w14:paraId="3E6A7DFF" w14:textId="77777777" w:rsidR="00D50B14" w:rsidRDefault="00DE6AEC">
      <w:pPr>
        <w:pStyle w:val="ListBullet"/>
        <w:spacing w:after="60"/>
      </w:pPr>
      <w:r>
        <w:rPr>
          <w:rFonts w:ascii="Arial" w:hAnsi="Arial"/>
          <w:b/>
          <w:color w:val="000000"/>
          <w:sz w:val="21"/>
        </w:rPr>
        <w:t xml:space="preserve">Top Products &amp; Yearly Performance: </w:t>
      </w:r>
      <w:r>
        <w:rPr>
          <w:rFonts w:ascii="Arial" w:hAnsi="Arial"/>
          <w:color w:val="000000"/>
          <w:sz w:val="21"/>
        </w:rPr>
        <w:t>Visualizes top revenue-generating items and yearly trends (2010 vs 2011).</w:t>
      </w:r>
    </w:p>
    <w:p w14:paraId="167083E5" w14:textId="77777777" w:rsidR="00D50B14" w:rsidRDefault="00DE6AEC">
      <w:pPr>
        <w:pStyle w:val="ListBullet"/>
        <w:spacing w:after="60"/>
      </w:pPr>
      <w:r>
        <w:rPr>
          <w:rFonts w:ascii="Arial" w:hAnsi="Arial"/>
          <w:b/>
          <w:color w:val="000000"/>
          <w:sz w:val="21"/>
        </w:rPr>
        <w:t xml:space="preserve">Geographic Distribution Map: </w:t>
      </w:r>
      <w:r>
        <w:rPr>
          <w:rFonts w:ascii="Arial" w:hAnsi="Arial"/>
          <w:color w:val="000000"/>
          <w:sz w:val="21"/>
        </w:rPr>
        <w:t>Displays spatial customer order volume across international markets.</w:t>
      </w:r>
    </w:p>
    <w:p w14:paraId="75809D03" w14:textId="77777777" w:rsidR="00D50B14" w:rsidRDefault="00DE6AEC">
      <w:pPr>
        <w:keepNext/>
        <w:spacing w:before="160" w:after="40"/>
      </w:pPr>
      <w:r>
        <w:rPr>
          <w:rFonts w:ascii="Arial" w:hAnsi="Arial"/>
          <w:b/>
          <w:color w:val="000000"/>
        </w:rPr>
        <w:t>Cross-Filtering Validation</w:t>
      </w:r>
    </w:p>
    <w:p w14:paraId="62147E77" w14:textId="77777777" w:rsidR="00D50B14" w:rsidRDefault="00DE6AEC">
      <w:pPr>
        <w:spacing w:after="80"/>
      </w:pPr>
      <w:r>
        <w:rPr>
          <w:rFonts w:ascii="Arial" w:hAnsi="Arial"/>
          <w:color w:val="000000"/>
          <w:sz w:val="21"/>
        </w:rPr>
        <w:t>The slicer interactions have been extensively verified. When filtered to VIP / Champions only, the dashboard auto-updates to $6.84M Revenue, 12.57K Orders, and 1.268K Customers, confirming full data integrity across reporting layers.</w:t>
      </w:r>
    </w:p>
    <w:p w14:paraId="4744772B" w14:textId="77777777" w:rsidR="00D50B14" w:rsidRDefault="00DE6AEC">
      <w:pPr>
        <w:keepNext/>
        <w:spacing w:before="240" w:after="80"/>
      </w:pPr>
      <w:r>
        <w:rPr>
          <w:rFonts w:ascii="Arial" w:hAnsi="Arial"/>
          <w:b/>
          <w:color w:val="000000"/>
          <w:sz w:val="24"/>
        </w:rPr>
        <w:t>4. Strategic Recommendations &amp; Risk Assessment</w:t>
      </w:r>
    </w:p>
    <w:p w14:paraId="289C8197" w14:textId="77777777" w:rsidR="00D50B14" w:rsidRDefault="00DE6AEC">
      <w:pPr>
        <w:keepNext/>
        <w:spacing w:before="160" w:after="40"/>
      </w:pPr>
      <w:r>
        <w:rPr>
          <w:rFonts w:ascii="Arial" w:hAnsi="Arial"/>
          <w:b/>
          <w:color w:val="000000"/>
        </w:rPr>
        <w:t>Strategic Recommendations</w:t>
      </w:r>
    </w:p>
    <w:p w14:paraId="172456F3" w14:textId="77777777" w:rsidR="00D50B14" w:rsidRDefault="00DE6AEC">
      <w:pPr>
        <w:pStyle w:val="ListBullet"/>
        <w:spacing w:after="60"/>
      </w:pPr>
      <w:r>
        <w:rPr>
          <w:rFonts w:ascii="Arial" w:hAnsi="Arial"/>
          <w:b/>
          <w:color w:val="000000"/>
          <w:sz w:val="21"/>
        </w:rPr>
        <w:t xml:space="preserve">1. Prioritize VIP Retention: </w:t>
      </w:r>
      <w:r>
        <w:rPr>
          <w:rFonts w:ascii="Arial" w:hAnsi="Arial"/>
          <w:color w:val="000000"/>
          <w:sz w:val="21"/>
        </w:rPr>
        <w:t>Because ~29.23% of customers generate ~76.8% of total store revenue ($6.84M out of $8.91M), preventing VIP churn is the highest strategic priority.</w:t>
      </w:r>
    </w:p>
    <w:p w14:paraId="68285AA1" w14:textId="77777777" w:rsidR="00D50B14" w:rsidRDefault="00DE6AEC">
      <w:pPr>
        <w:pStyle w:val="ListBullet"/>
        <w:spacing w:after="60"/>
      </w:pPr>
      <w:r>
        <w:rPr>
          <w:rFonts w:ascii="Arial" w:hAnsi="Arial"/>
          <w:b/>
          <w:color w:val="000000"/>
          <w:sz w:val="21"/>
        </w:rPr>
        <w:t xml:space="preserve">2. Automated Interventions: </w:t>
      </w:r>
      <w:r>
        <w:rPr>
          <w:rFonts w:ascii="Arial" w:hAnsi="Arial"/>
          <w:color w:val="000000"/>
          <w:sz w:val="21"/>
        </w:rPr>
        <w:t>Deploy real-time marketing triggers so when a customer transitions from 'Loyal' to 'At-Risk', win-back offers are dispatched automatically.</w:t>
      </w:r>
    </w:p>
    <w:p w14:paraId="6F29AEB9" w14:textId="77777777" w:rsidR="00D50B14" w:rsidRDefault="00DE6AEC">
      <w:pPr>
        <w:keepNext/>
        <w:spacing w:before="160" w:after="40"/>
      </w:pPr>
      <w:r>
        <w:rPr>
          <w:rFonts w:ascii="Arial" w:hAnsi="Arial"/>
          <w:b/>
          <w:color w:val="000000"/>
        </w:rPr>
        <w:t>Risk Assessment &amp; Plan B</w:t>
      </w:r>
    </w:p>
    <w:p w14:paraId="2D20E00D" w14:textId="77777777" w:rsidR="00D50B14" w:rsidRDefault="00DE6AEC">
      <w:pPr>
        <w:pStyle w:val="ListBullet"/>
        <w:spacing w:after="60"/>
      </w:pPr>
      <w:r>
        <w:rPr>
          <w:rFonts w:ascii="Arial" w:hAnsi="Arial"/>
          <w:b/>
          <w:color w:val="000000"/>
          <w:sz w:val="21"/>
        </w:rPr>
        <w:t xml:space="preserve">Data Quality Risk: </w:t>
      </w:r>
      <w:r>
        <w:rPr>
          <w:rFonts w:ascii="Arial" w:hAnsi="Arial"/>
          <w:color w:val="000000"/>
          <w:sz w:val="21"/>
        </w:rPr>
        <w:t>High risk of unlinked orders and cancellations skewing customer scoring.</w:t>
      </w:r>
    </w:p>
    <w:p w14:paraId="61401B7A" w14:textId="77777777" w:rsidR="00D50B14" w:rsidRDefault="00DE6AEC">
      <w:pPr>
        <w:pStyle w:val="ListBullet"/>
        <w:spacing w:after="60"/>
      </w:pPr>
      <w:r>
        <w:rPr>
          <w:rFonts w:ascii="Arial" w:hAnsi="Arial"/>
          <w:b/>
          <w:color w:val="000000"/>
          <w:sz w:val="21"/>
        </w:rPr>
        <w:t xml:space="preserve">Mitigation Strategy: </w:t>
      </w:r>
      <w:r>
        <w:rPr>
          <w:rFonts w:ascii="Arial" w:hAnsi="Arial"/>
          <w:color w:val="000000"/>
          <w:sz w:val="21"/>
        </w:rPr>
        <w:t>Created assertion and filtering scripts in Python during the ETL process. Invalid records were separated into an error log dataframe, ensuring production modeling was conducted exclusively on validated records.</w:t>
      </w:r>
    </w:p>
    <w:p w14:paraId="736AFF78" w14:textId="77777777" w:rsidR="00D50B14" w:rsidRDefault="00DE6AEC">
      <w:pPr>
        <w:keepNext/>
        <w:spacing w:before="240" w:after="80"/>
      </w:pPr>
      <w:r>
        <w:rPr>
          <w:rFonts w:ascii="Arial" w:hAnsi="Arial"/>
          <w:b/>
          <w:color w:val="000000"/>
          <w:sz w:val="24"/>
        </w:rPr>
        <w:t>5. Academic &amp; AI Governance Declaration</w:t>
      </w:r>
    </w:p>
    <w:p w14:paraId="6AD78ADD" w14:textId="77777777" w:rsidR="00D50B14" w:rsidRDefault="00DE6AEC">
      <w:pPr>
        <w:pStyle w:val="ListBullet"/>
        <w:spacing w:after="60"/>
      </w:pPr>
      <w:r>
        <w:rPr>
          <w:rFonts w:ascii="Arial" w:hAnsi="Arial"/>
          <w:b/>
          <w:color w:val="000000"/>
          <w:sz w:val="21"/>
        </w:rPr>
        <w:t xml:space="preserve">Tools Planned: </w:t>
      </w:r>
      <w:r>
        <w:rPr>
          <w:rFonts w:ascii="Arial" w:hAnsi="Arial"/>
          <w:color w:val="000000"/>
          <w:sz w:val="21"/>
        </w:rPr>
        <w:t>Generative AI tools (ChatGPT/Claude) were utilized for optimization, error debugging, Markdown formatting, and refining report wording.</w:t>
      </w:r>
    </w:p>
    <w:p w14:paraId="69F72C41" w14:textId="77777777" w:rsidR="00D50B14" w:rsidRDefault="00DE6AEC">
      <w:pPr>
        <w:pStyle w:val="ListBullet"/>
        <w:spacing w:after="60"/>
      </w:pPr>
      <w:r>
        <w:rPr>
          <w:rFonts w:ascii="Arial" w:hAnsi="Arial"/>
          <w:b/>
          <w:color w:val="000000"/>
          <w:sz w:val="21"/>
        </w:rPr>
        <w:t xml:space="preserve">Usage Commitment: </w:t>
      </w:r>
      <w:r>
        <w:rPr>
          <w:rFonts w:ascii="Arial" w:hAnsi="Arial"/>
          <w:color w:val="000000"/>
          <w:sz w:val="21"/>
        </w:rPr>
        <w:t>All core analytical logic, business interpretation, dashboard designs, and conclusions were independently designed and executed by the author.</w:t>
      </w:r>
    </w:p>
    <w:sectPr w:rsidR="00D50B1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2140082">
    <w:abstractNumId w:val="8"/>
  </w:num>
  <w:num w:numId="2" w16cid:durableId="4402888">
    <w:abstractNumId w:val="6"/>
  </w:num>
  <w:num w:numId="3" w16cid:durableId="2057047763">
    <w:abstractNumId w:val="5"/>
  </w:num>
  <w:num w:numId="4" w16cid:durableId="1419524020">
    <w:abstractNumId w:val="4"/>
  </w:num>
  <w:num w:numId="5" w16cid:durableId="546839183">
    <w:abstractNumId w:val="7"/>
  </w:num>
  <w:num w:numId="6" w16cid:durableId="361825580">
    <w:abstractNumId w:val="3"/>
  </w:num>
  <w:num w:numId="7" w16cid:durableId="19555530">
    <w:abstractNumId w:val="2"/>
  </w:num>
  <w:num w:numId="8" w16cid:durableId="829760784">
    <w:abstractNumId w:val="1"/>
  </w:num>
  <w:num w:numId="9" w16cid:durableId="251279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52D3"/>
    <w:rsid w:val="00755A65"/>
    <w:rsid w:val="00AA1D8D"/>
    <w:rsid w:val="00B47730"/>
    <w:rsid w:val="00CB0664"/>
    <w:rsid w:val="00D50B14"/>
    <w:rsid w:val="00DE6A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D27DA7"/>
  <w14:defaultImageDpi w14:val="300"/>
  <w15:docId w15:val="{D14A450C-0049-4197-A400-35081EEF6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644</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puneeth sonti</cp:lastModifiedBy>
  <cp:revision>2</cp:revision>
  <dcterms:created xsi:type="dcterms:W3CDTF">2026-10-16T07:21:00Z</dcterms:created>
  <dcterms:modified xsi:type="dcterms:W3CDTF">2026-10-16T07:21:00Z</dcterms:modified>
  <cp:category/>
</cp:coreProperties>
</file>