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635"/>
          <w:tab w:val="center" w:leader="none" w:pos="5400"/>
        </w:tabs>
        <w:spacing w:after="120" w:lineRule="auto"/>
        <w:jc w:val="center"/>
        <w:rPr>
          <w:rFonts w:ascii="Roboto" w:cs="Roboto" w:eastAsia="Roboto" w:hAnsi="Roboto"/>
          <w:b w:val="1"/>
          <w:bCs w:val="1"/>
          <w:color w:val="0066cc"/>
          <w:sz w:val="36"/>
          <w:szCs w:val="36"/>
        </w:rPr>
      </w:pPr>
      <w:r w:rsidDel="00000000" w:rsidR="00000000" w:rsidRPr="00000000">
        <w:rPr>
          <w:rFonts w:ascii="Roboto" w:cs="Roboto" w:eastAsia="Roboto" w:hAnsi="Roboto"/>
          <w:b w:val="1"/>
          <w:bCs w:val="1"/>
          <w:color w:val="0066cc"/>
          <w:sz w:val="36"/>
          <w:szCs w:val="36"/>
          <w:vertAlign w:val="baseline"/>
          <w:rtl w:val="0"/>
        </w:rPr>
        <w:t xml:space="preserve">New Client Report of Findings and Recommendations</w:t>
      </w:r>
      <w:r w:rsidDel="00000000" w:rsidR="00000000" w:rsidRPr="00000000">
        <w:rPr>
          <w:rtl w:val="0"/>
        </w:rPr>
      </w:r>
    </w:p>
    <w:p w:rsidR="00000000" w:rsidDel="00000000" w:rsidP="00000000" w:rsidRDefault="00000000" w:rsidRPr="00000000" w14:paraId="00000002">
      <w:pPr>
        <w:pageBreakBefore w:val="0"/>
        <w:tabs>
          <w:tab w:val="left" w:leader="none" w:pos="1635"/>
          <w:tab w:val="center" w:leader="none" w:pos="5400"/>
        </w:tabs>
        <w:spacing w:after="120" w:lineRule="auto"/>
        <w:jc w:val="center"/>
        <w:rPr>
          <w:rFonts w:ascii="Roboto" w:cs="Roboto" w:eastAsia="Roboto" w:hAnsi="Roboto"/>
          <w:b w:val="1"/>
          <w:bCs w:val="1"/>
          <w:color w:val="0066cc"/>
        </w:rPr>
      </w:pPr>
      <w:r w:rsidDel="00000000" w:rsidR="00000000" w:rsidRPr="00000000">
        <w:rPr>
          <w:rtl w:val="0"/>
        </w:rPr>
      </w:r>
    </w:p>
    <w:p w:rsidR="00000000" w:rsidDel="00000000" w:rsidP="00000000" w:rsidRDefault="00000000" w:rsidRPr="00000000" w14:paraId="00000003">
      <w:pPr>
        <w:pageBreakBefore w:val="0"/>
        <w:ind w:left="0" w:firstLine="0"/>
        <w:jc w:val="center"/>
        <w:rPr>
          <w:rFonts w:ascii="Roboto" w:cs="Roboto" w:eastAsia="Roboto" w:hAnsi="Roboto"/>
          <w:b w:val="1"/>
          <w:bCs w:val="1"/>
          <w:color w:val="cc0000"/>
        </w:rPr>
      </w:pPr>
      <w:r w:rsidDel="00000000" w:rsidR="00000000" w:rsidRPr="00000000">
        <w:rPr>
          <w:rFonts w:ascii="Roboto" w:cs="Roboto" w:eastAsia="Roboto" w:hAnsi="Roboto"/>
          <w:b w:val="1"/>
          <w:bCs w:val="1"/>
          <w:color w:val="cc0000"/>
          <w:vertAlign w:val="baseline"/>
          <w:rtl w:val="0"/>
        </w:rPr>
        <w:t xml:space="preserve">Nam</w:t>
      </w:r>
      <w:r w:rsidDel="00000000" w:rsidR="00000000" w:rsidRPr="00000000">
        <w:rPr>
          <w:rFonts w:ascii="Roboto" w:cs="Roboto" w:eastAsia="Roboto" w:hAnsi="Roboto"/>
          <w:b w:val="1"/>
          <w:bCs w:val="1"/>
          <w:color w:val="cc0000"/>
          <w:rtl w:val="0"/>
        </w:rPr>
        <w:t xml:space="preserve">e: Leeza Woodbury</w:t>
        <w:tab/>
        <w:tab/>
        <w:tab/>
        <w:tab/>
        <w:t xml:space="preserve">Date: June 15, 2026</w:t>
      </w:r>
    </w:p>
    <w:p w:rsidR="00000000" w:rsidDel="00000000" w:rsidP="00000000" w:rsidRDefault="00000000" w:rsidRPr="00000000" w14:paraId="00000004">
      <w:pPr>
        <w:pageBreakBefore w:val="0"/>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5">
      <w:pPr>
        <w:pageBreakBefore w:val="0"/>
        <w:ind w:left="1440" w:firstLine="720"/>
        <w:rPr>
          <w:rFonts w:ascii="Roboto" w:cs="Roboto" w:eastAsia="Roboto" w:hAnsi="Roboto"/>
          <w:sz w:val="32"/>
          <w:szCs w:val="32"/>
        </w:rPr>
      </w:pPr>
      <w:r w:rsidDel="00000000" w:rsidR="00000000" w:rsidRPr="00000000">
        <w:rPr>
          <w:rFonts w:ascii="Roboto" w:cs="Roboto" w:eastAsia="Roboto" w:hAnsi="Roboto"/>
          <w:b w:val="1"/>
          <w:bCs w:val="1"/>
          <w:sz w:val="32"/>
          <w:szCs w:val="32"/>
          <w:rtl w:val="0"/>
        </w:rPr>
        <w:t xml:space="preserve">Major Symptoms &amp; Goals for Improvement</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06">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Symptoms: Chronic fatigue; Afternoon bloating; Trouble sleeping</w:t>
      </w:r>
    </w:p>
    <w:p w:rsidR="00000000" w:rsidDel="00000000" w:rsidP="00000000" w:rsidRDefault="00000000" w:rsidRPr="00000000" w14:paraId="00000007">
      <w:pPr>
        <w:pageBreakBefore w:val="0"/>
        <w:spacing w:after="240" w:before="24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Goals: Get energy back for work; Sleep through the night</w:t>
      </w:r>
    </w:p>
    <w:p w:rsidR="00000000" w:rsidDel="00000000" w:rsidP="00000000" w:rsidRDefault="00000000" w:rsidRPr="00000000" w14:paraId="00000008">
      <w:pPr>
        <w:pageBreakBefore w:val="0"/>
        <w:spacing w:after="240" w:before="240" w:lineRule="auto"/>
        <w:jc w:val="center"/>
        <w:rPr>
          <w:rFonts w:ascii="Roboto" w:cs="Roboto" w:eastAsia="Roboto" w:hAnsi="Roboto"/>
          <w:vertAlign w:val="baseline"/>
        </w:rPr>
      </w:pPr>
      <w:r w:rsidDel="00000000" w:rsidR="00000000" w:rsidRPr="00000000">
        <w:rPr>
          <w:rFonts w:ascii="Roboto" w:cs="Roboto" w:eastAsia="Roboto" w:hAnsi="Roboto"/>
          <w:b w:val="1"/>
          <w:bCs w:val="1"/>
          <w:sz w:val="32"/>
          <w:szCs w:val="32"/>
          <w:rtl w:val="0"/>
        </w:rPr>
        <w:t xml:space="preserve">I</w:t>
      </w:r>
      <w:r w:rsidDel="00000000" w:rsidR="00000000" w:rsidRPr="00000000">
        <w:rPr>
          <w:rFonts w:ascii="Nova Mono" w:cs="Nova Mono" w:eastAsia="Nova Mono" w:hAnsi="Nova Mono"/>
          <w:b w:val="1"/>
          <w:bCs w:val="1"/>
          <w:sz w:val="32"/>
          <w:szCs w:val="32"/>
          <w:vertAlign w:val="baseline"/>
          <w:rtl w:val="0"/>
        </w:rPr>
        <w:t xml:space="preserve">nitial Nutrition Response Testing™ (NRT) </w:t>
      </w:r>
      <w:r w:rsidDel="00000000" w:rsidR="00000000" w:rsidRPr="00000000">
        <w:rPr>
          <w:rFonts w:ascii="Roboto" w:cs="Roboto" w:eastAsia="Roboto" w:hAnsi="Roboto"/>
          <w:b w:val="1"/>
          <w:bCs w:val="1"/>
          <w:sz w:val="32"/>
          <w:szCs w:val="32"/>
          <w:rtl w:val="0"/>
        </w:rPr>
        <w:br w:type="textWrapping"/>
      </w:r>
      <w:r w:rsidDel="00000000" w:rsidR="00000000" w:rsidRPr="00000000">
        <w:rPr>
          <w:rFonts w:ascii="Roboto" w:cs="Roboto" w:eastAsia="Roboto" w:hAnsi="Roboto"/>
          <w:b w:val="1"/>
          <w:bCs w:val="1"/>
          <w:sz w:val="32"/>
          <w:szCs w:val="32"/>
          <w:vertAlign w:val="baseline"/>
          <w:rtl w:val="0"/>
        </w:rPr>
        <w:t xml:space="preserve">Personal Designed Clinical </w:t>
      </w:r>
      <w:r w:rsidDel="00000000" w:rsidR="00000000" w:rsidRPr="00000000">
        <w:rPr>
          <w:rFonts w:ascii="Roboto" w:cs="Roboto" w:eastAsia="Roboto" w:hAnsi="Roboto"/>
          <w:b w:val="1"/>
          <w:bCs w:val="1"/>
          <w:sz w:val="32"/>
          <w:szCs w:val="32"/>
          <w:rtl w:val="0"/>
        </w:rPr>
        <w:t xml:space="preserve">Nutrition</w:t>
      </w:r>
      <w:r w:rsidDel="00000000" w:rsidR="00000000" w:rsidRPr="00000000">
        <w:rPr>
          <w:rFonts w:ascii="Roboto" w:cs="Roboto" w:eastAsia="Roboto" w:hAnsi="Roboto"/>
          <w:b w:val="1"/>
          <w:bCs w:val="1"/>
          <w:sz w:val="32"/>
          <w:szCs w:val="32"/>
          <w:vertAlign w:val="baseline"/>
          <w:rtl w:val="0"/>
        </w:rPr>
        <w:t xml:space="preserve"> Program</w:t>
        <w:br w:type="textWrapping"/>
      </w:r>
      <w:r w:rsidDel="00000000" w:rsidR="00000000" w:rsidRPr="00000000">
        <w:rPr>
          <w:rFonts w:ascii="Roboto" w:cs="Roboto" w:eastAsia="Roboto" w:hAnsi="Roboto"/>
          <w:rtl w:val="0"/>
        </w:rPr>
        <w:t xml:space="preserve">My</w:t>
      </w:r>
      <w:r w:rsidDel="00000000" w:rsidR="00000000" w:rsidRPr="00000000">
        <w:rPr>
          <w:rFonts w:ascii="Roboto" w:cs="Roboto" w:eastAsia="Roboto" w:hAnsi="Roboto"/>
          <w:vertAlign w:val="baseline"/>
          <w:rtl w:val="0"/>
        </w:rPr>
        <w:t xml:space="preserve"> desire is to help you in the natural path to healing yourself.  Based on our review of your </w:t>
      </w:r>
      <w:r w:rsidDel="00000000" w:rsidR="00000000" w:rsidRPr="00000000">
        <w:rPr>
          <w:rFonts w:ascii="Roboto" w:cs="Roboto" w:eastAsia="Roboto" w:hAnsi="Roboto"/>
          <w:rtl w:val="0"/>
        </w:rPr>
        <w:t xml:space="preserve">symptoms</w:t>
      </w:r>
      <w:r w:rsidDel="00000000" w:rsidR="00000000" w:rsidRPr="00000000">
        <w:rPr>
          <w:rFonts w:ascii="Roboto" w:cs="Roboto" w:eastAsia="Roboto" w:hAnsi="Roboto"/>
          <w:vertAlign w:val="baseline"/>
          <w:rtl w:val="0"/>
        </w:rPr>
        <w:t xml:space="preserve">, history, and Nutrition Response Testing clinical findings, we feel that you are a good candidate for Nutrition Response Testing, and that you are a “Nutrition Response Testing Case.”  In our experience with cases similar to yours, nothing else will ever come close to what you can possibly achieve using Nutrition Response Testing and Designed Clinical Nutrition.  </w:t>
      </w:r>
      <w:r w:rsidDel="00000000" w:rsidR="00000000" w:rsidRPr="00000000">
        <w:rPr>
          <w:rFonts w:ascii="Roboto" w:cs="Roboto" w:eastAsia="Roboto" w:hAnsi="Roboto"/>
          <w:rtl w:val="0"/>
        </w:rPr>
        <w:t xml:space="preserve">My goal is </w:t>
      </w:r>
      <w:r w:rsidDel="00000000" w:rsidR="00000000" w:rsidRPr="00000000">
        <w:rPr>
          <w:rFonts w:ascii="Roboto" w:cs="Roboto" w:eastAsia="Roboto" w:hAnsi="Roboto"/>
          <w:vertAlign w:val="baseline"/>
          <w:rtl w:val="0"/>
        </w:rPr>
        <w:t xml:space="preserve">to help you achieve your health objectives, and to help you achieve a healthier, happier life.</w:t>
      </w:r>
    </w:p>
    <w:p w:rsidR="00000000" w:rsidDel="00000000" w:rsidP="00000000" w:rsidRDefault="00000000" w:rsidRPr="00000000" w14:paraId="00000009">
      <w:pPr>
        <w:pageBreakBefore w:val="0"/>
        <w:spacing w:after="24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Below you will find the results of your Initial Consultation, as well as the protocol we recommend for optimal healing. </w:t>
      </w:r>
    </w:p>
    <w:p w:rsidR="00000000" w:rsidDel="00000000" w:rsidP="00000000" w:rsidRDefault="00000000" w:rsidRPr="00000000" w14:paraId="0000000A">
      <w:pPr>
        <w:pStyle w:val="Heading1"/>
        <w:pageBreakBefore w:val="0"/>
        <w:tabs>
          <w:tab w:val="left" w:leader="none" w:pos="7800"/>
        </w:tabs>
        <w:spacing w:after="120" w:lineRule="auto"/>
        <w:jc w:val="both"/>
        <w:rPr>
          <w:rFonts w:ascii="Roboto" w:cs="Roboto" w:eastAsia="Roboto" w:hAnsi="Roboto"/>
          <w:sz w:val="28"/>
          <w:szCs w:val="28"/>
          <w:u w:val="single"/>
          <w:vertAlign w:val="baseline"/>
        </w:rPr>
      </w:pPr>
      <w:bookmarkStart w:colFirst="0" w:colLast="0" w:name="_14jp9k7ln1z6" w:id="0"/>
      <w:bookmarkEnd w:id="0"/>
      <w:r w:rsidDel="00000000" w:rsidR="00000000" w:rsidRPr="00000000">
        <w:rPr>
          <w:rFonts w:ascii="Roboto" w:cs="Roboto" w:eastAsia="Roboto" w:hAnsi="Roboto"/>
          <w:sz w:val="28"/>
          <w:szCs w:val="28"/>
          <w:u w:val="single"/>
          <w:vertAlign w:val="baseline"/>
          <w:rtl w:val="0"/>
        </w:rPr>
        <w:t xml:space="preserve">NRT Findings</w:t>
      </w:r>
    </w:p>
    <w:p w:rsidR="00000000" w:rsidDel="00000000" w:rsidP="00000000" w:rsidRDefault="00000000" w:rsidRPr="00000000" w14:paraId="0000000B">
      <w:pPr>
        <w:tabs>
          <w:tab w:val="left" w:leader="none" w:pos="7800"/>
        </w:tabs>
        <w:spacing w:after="240" w:lineRule="auto"/>
        <w:jc w:val="both"/>
        <w:rPr>
          <w:rFonts w:ascii="Roboto" w:cs="Roboto" w:eastAsia="Roboto" w:hAnsi="Roboto"/>
        </w:rPr>
      </w:pPr>
      <w:r w:rsidDel="00000000" w:rsidR="00000000" w:rsidRPr="00000000">
        <w:rPr>
          <w:rFonts w:ascii="Roboto" w:cs="Roboto" w:eastAsia="Roboto" w:hAnsi="Roboto"/>
          <w:b w:val="1"/>
          <w:bCs w:val="1"/>
          <w:rtl w:val="0"/>
        </w:rPr>
        <w:t xml:space="preserve">Strong Muscle Indicator – on a cellular level your body does have the capability to heal. </w:t>
      </w:r>
      <w:r w:rsidDel="00000000" w:rsidR="00000000" w:rsidRPr="00000000">
        <w:rPr>
          <w:rtl w:val="0"/>
        </w:rPr>
      </w:r>
    </w:p>
    <w:p w:rsidR="00000000" w:rsidDel="00000000" w:rsidP="00000000" w:rsidRDefault="00000000" w:rsidRPr="00000000" w14:paraId="0000000C">
      <w:pPr>
        <w:tabs>
          <w:tab w:val="left" w:leader="none" w:pos="8145"/>
        </w:tabs>
        <w:spacing w:after="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Open Regulation – your body is not being held back from healing. </w:t>
      </w:r>
    </w:p>
    <w:p w:rsidR="00000000" w:rsidDel="00000000" w:rsidP="00000000" w:rsidRDefault="00000000" w:rsidRPr="00000000" w14:paraId="0000000D">
      <w:pPr>
        <w:pStyle w:val="Heading1"/>
        <w:pageBreakBefore w:val="0"/>
        <w:tabs>
          <w:tab w:val="left" w:leader="none" w:pos="7800"/>
        </w:tabs>
        <w:spacing w:after="120" w:lineRule="auto"/>
        <w:jc w:val="both"/>
        <w:rPr>
          <w:rFonts w:ascii="Roboto" w:cs="Roboto" w:eastAsia="Roboto" w:hAnsi="Roboto"/>
          <w:b w:val="1"/>
          <w:bCs w:val="1"/>
        </w:rPr>
      </w:pPr>
      <w:bookmarkStart w:colFirst="0" w:colLast="0" w:name="_q5gpv0cwkmet" w:id="1"/>
      <w:bookmarkEnd w:id="1"/>
      <w:r w:rsidDel="00000000" w:rsidR="00000000" w:rsidRPr="00000000">
        <w:rPr>
          <w:rFonts w:ascii="Roboto" w:cs="Roboto" w:eastAsia="Roboto" w:hAnsi="Roboto"/>
          <w:rtl w:val="0"/>
        </w:rPr>
        <w:t xml:space="preserve">Not Switched –The correct neurotransmitted messages are NOT being sent and received to organs, systems, and functions.</w:t>
      </w:r>
      <w:r w:rsidDel="00000000" w:rsidR="00000000" w:rsidRPr="00000000">
        <w:rPr>
          <w:rFonts w:ascii="Roboto" w:cs="Roboto" w:eastAsia="Roboto" w:hAnsi="Roboto"/>
          <w:b w:val="1"/>
          <w:bCs w:val="1"/>
          <w:rtl w:val="0"/>
        </w:rPr>
        <w:tab/>
        <w:tab/>
        <w:tab/>
        <w:tab/>
      </w:r>
    </w:p>
    <w:p w:rsidR="00000000" w:rsidDel="00000000" w:rsidP="00000000" w:rsidRDefault="00000000" w:rsidRPr="00000000" w14:paraId="0000000E">
      <w:pPr>
        <w:pageBreakBefore w:val="0"/>
        <w:tabs>
          <w:tab w:val="left" w:leader="none" w:pos="8145"/>
        </w:tabs>
        <w:jc w:val="both"/>
        <w:rPr>
          <w:rFonts w:ascii="Roboto" w:cs="Roboto" w:eastAsia="Roboto" w:hAnsi="Roboto"/>
          <w:b w:val="1"/>
          <w:bCs w:val="1"/>
        </w:rPr>
      </w:pPr>
      <w:r w:rsidDel="00000000" w:rsidR="00000000" w:rsidRPr="00000000">
        <w:rPr>
          <w:rtl w:val="0"/>
        </w:rPr>
      </w:r>
    </w:p>
    <w:tbl>
      <w:tblPr>
        <w:tblStyle w:val="Table1"/>
        <w:tblW w:w="114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80"/>
        <w:gridCol w:w="2280"/>
        <w:gridCol w:w="2280"/>
        <w:gridCol w:w="2280"/>
        <w:tblGridChange w:id="0">
          <w:tblGrid>
            <w:gridCol w:w="2295"/>
            <w:gridCol w:w="2280"/>
            <w:gridCol w:w="2280"/>
            <w:gridCol w:w="2280"/>
            <w:gridCol w:w="228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shd w:fill="dbe5f1"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Pulse 0: 76, thready</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Priority #1: Immune stressor — upper GI</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K-27: Switched; corrected on rub</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Stressors(s): Immune challenge, food (dairy, gluten)</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1"/>
        <w:pageBreakBefore w:val="0"/>
        <w:spacing w:after="120" w:lineRule="auto"/>
        <w:jc w:val="left"/>
        <w:rPr>
          <w:sz w:val="28"/>
          <w:szCs w:val="28"/>
          <w:vertAlign w:val="baseline"/>
        </w:rPr>
      </w:pPr>
      <w:bookmarkStart w:colFirst="0" w:colLast="0" w:name="_zvh9a9ctjoh" w:id="2"/>
      <w:bookmarkEnd w:id="2"/>
      <w:r w:rsidDel="00000000" w:rsidR="00000000" w:rsidRPr="00000000">
        <w:rPr>
          <w:rFonts w:ascii="Roboto" w:cs="Roboto" w:eastAsia="Roboto" w:hAnsi="Roboto"/>
          <w:sz w:val="28"/>
          <w:szCs w:val="28"/>
          <w:u w:val="single"/>
          <w:rtl w:val="0"/>
        </w:rPr>
        <w:t xml:space="preserve">I</w:t>
      </w:r>
      <w:r w:rsidDel="00000000" w:rsidR="00000000" w:rsidRPr="00000000">
        <w:rPr>
          <w:rFonts w:ascii="Roboto" w:cs="Roboto" w:eastAsia="Roboto" w:hAnsi="Roboto"/>
          <w:sz w:val="28"/>
          <w:szCs w:val="28"/>
          <w:u w:val="single"/>
          <w:vertAlign w:val="baseline"/>
          <w:rtl w:val="0"/>
        </w:rPr>
        <w:t xml:space="preserve">nitial Protocol  </w:t>
      </w:r>
      <w:r w:rsidDel="00000000" w:rsidR="00000000" w:rsidRPr="00000000">
        <w:rPr>
          <w:sz w:val="28"/>
          <w:szCs w:val="28"/>
          <w:vertAlign w:val="baseline"/>
          <w:rtl w:val="0"/>
        </w:rPr>
        <w:t xml:space="preserve"> </w:t>
      </w:r>
    </w:p>
    <w:tbl>
      <w:tblPr>
        <w:tblStyle w:val="Table2"/>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725"/>
        <w:gridCol w:w="6015"/>
        <w:tblGridChange w:id="0">
          <w:tblGrid>
            <w:gridCol w:w="3375"/>
            <w:gridCol w:w="1725"/>
            <w:gridCol w:w="6015"/>
          </w:tblGrid>
        </w:tblGridChange>
      </w:tblGrid>
      <w:tr>
        <w:trPr>
          <w:cantSplit w:val="0"/>
          <w:trHeight w:val="390" w:hRule="atLeast"/>
          <w:tblHeader w:val="0"/>
        </w:trPr>
        <w:tc>
          <w:tcPr>
            <w:shd w:fill="0070c0" w:val="clear"/>
            <w:vAlign w:val="top"/>
          </w:tcPr>
          <w:p w:rsidR="00000000" w:rsidDel="00000000" w:rsidP="00000000" w:rsidRDefault="00000000" w:rsidRPr="00000000" w14:paraId="00000027">
            <w:pPr>
              <w:pageBreakBefore w:val="0"/>
              <w:rPr>
                <w:rFonts w:ascii="Roboto" w:cs="Roboto" w:eastAsia="Roboto" w:hAnsi="Roboto"/>
                <w:i w:val="0"/>
                <w:iCs w:val="0"/>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Supplement:</w:t>
            </w:r>
            <w:r w:rsidDel="00000000" w:rsidR="00000000" w:rsidRPr="00000000">
              <w:rPr>
                <w:rtl w:val="0"/>
              </w:rPr>
            </w:r>
          </w:p>
        </w:tc>
        <w:tc>
          <w:tcPr>
            <w:shd w:fill="0070c0" w:val="clear"/>
            <w:vAlign w:val="top"/>
          </w:tcPr>
          <w:p w:rsidR="00000000" w:rsidDel="00000000" w:rsidP="00000000" w:rsidRDefault="00000000" w:rsidRPr="00000000" w14:paraId="00000028">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Dosage</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c>
          <w:tcPr>
            <w:shd w:fill="0070c0" w:val="clear"/>
            <w:vAlign w:val="top"/>
          </w:tcPr>
          <w:p w:rsidR="00000000" w:rsidDel="00000000" w:rsidP="00000000" w:rsidRDefault="00000000" w:rsidRPr="00000000" w14:paraId="00000029">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Function</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Cataplex B</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2 tabs, 2x daily</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Zypan</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1 tab w/ meals</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Drenamin</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1 tab 3x daily</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300" w:hRule="atLeast"/>
          <w:tblHeader w:val="0"/>
        </w:trPr>
        <w:tc>
          <w:tcPr>
            <w:vAlign w:val="top"/>
          </w:tcPr>
          <w:p w:rsidR="00000000" w:rsidDel="00000000" w:rsidP="00000000" w:rsidRDefault="00000000" w:rsidRPr="00000000" w14:paraId="0000002D">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2F">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1">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4">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5">
            <w:pPr>
              <w:pageBreakBefore w:val="0"/>
              <w:rPr>
                <w:rFonts w:ascii="Roboto" w:cs="Roboto" w:eastAsia="Roboto" w:hAnsi="Roboto"/>
                <w:b w:val="1"/>
                <w:bCs w:val="1"/>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7">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8">
            <w:pPr>
              <w:pageBreakBefore w:val="0"/>
              <w:rPr>
                <w:rFonts w:ascii="Roboto" w:cs="Roboto" w:eastAsia="Roboto" w:hAnsi="Roboto"/>
                <w:b w:val="1"/>
                <w:bCs w:val="1"/>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9">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A">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B">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D">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E">
            <w:pPr>
              <w:pageBreakBefore w:val="0"/>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3F">
      <w:pPr>
        <w:pageBreakBefore w:val="0"/>
        <w:tabs>
          <w:tab w:val="left" w:leader="none" w:pos="720"/>
        </w:tabs>
        <w:spacing w:after="120" w:lineRule="auto"/>
        <w:rPr>
          <w:rFonts w:ascii="Roboto" w:cs="Roboto" w:eastAsia="Roboto" w:hAnsi="Roboto"/>
          <w:vertAlign w:val="baseline"/>
        </w:rPr>
      </w:pPr>
      <w:r w:rsidDel="00000000" w:rsidR="00000000" w:rsidRPr="00000000">
        <w:rPr>
          <w:rFonts w:ascii="Roboto" w:cs="Roboto" w:eastAsia="Roboto" w:hAnsi="Roboto"/>
          <w:b w:val="1"/>
          <w:bCs w:val="1"/>
          <w:vertAlign w:val="baseline"/>
          <w:rtl w:val="0"/>
        </w:rPr>
        <w:tab/>
      </w:r>
      <w:r w:rsidDel="00000000" w:rsidR="00000000" w:rsidRPr="00000000">
        <w:rPr>
          <w:rtl w:val="0"/>
        </w:rPr>
      </w:r>
    </w:p>
    <w:p w:rsidR="00000000" w:rsidDel="00000000" w:rsidP="00000000" w:rsidRDefault="00000000" w:rsidRPr="00000000" w14:paraId="00000040">
      <w:pPr>
        <w:pageBreakBefore w:val="0"/>
        <w:tabs>
          <w:tab w:val="left" w:leader="none" w:pos="720"/>
        </w:tabs>
        <w:spacing w:after="120"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vertAlign w:val="baseline"/>
          <w:rtl w:val="0"/>
        </w:rPr>
        <w:t xml:space="preserve">Nutritional supplements are extra, based on your individual program. </w:t>
      </w:r>
      <w:r w:rsidDel="00000000" w:rsidR="00000000" w:rsidRPr="00000000">
        <w:rPr>
          <w:rFonts w:ascii="Roboto" w:cs="Roboto" w:eastAsia="Roboto" w:hAnsi="Roboto"/>
          <w:b w:val="1"/>
          <w:bCs w:val="1"/>
          <w:sz w:val="22"/>
          <w:szCs w:val="22"/>
          <w:vertAlign w:val="baseline"/>
          <w:rtl w:val="0"/>
        </w:rPr>
        <w:t xml:space="preserve">The average investment of a nutritional program will be $300.00 per person, per month during the healing and observation phases</w:t>
      </w:r>
      <w:r w:rsidDel="00000000" w:rsidR="00000000" w:rsidRPr="00000000">
        <w:rPr>
          <w:rFonts w:ascii="Roboto" w:cs="Roboto" w:eastAsia="Roboto" w:hAnsi="Roboto"/>
          <w:sz w:val="22"/>
          <w:szCs w:val="22"/>
          <w:vertAlign w:val="baseline"/>
          <w:rtl w:val="0"/>
        </w:rPr>
        <w:t xml:space="preserve">. </w:t>
      </w:r>
      <w:r w:rsidDel="00000000" w:rsidR="00000000" w:rsidRPr="00000000">
        <w:rPr>
          <w:rFonts w:ascii="Roboto" w:cs="Roboto" w:eastAsia="Roboto" w:hAnsi="Roboto"/>
          <w:sz w:val="22"/>
          <w:szCs w:val="22"/>
          <w:rtl w:val="0"/>
        </w:rPr>
        <w:t xml:space="preserve">Once on maintenance, normally less is required although each case is different and is managed individually.</w:t>
      </w:r>
    </w:p>
    <w:p w:rsidR="00000000" w:rsidDel="00000000" w:rsidP="00000000" w:rsidRDefault="00000000" w:rsidRPr="00000000" w14:paraId="00000041">
      <w:pPr>
        <w:pageBreakBefore w:val="0"/>
        <w:spacing w:after="80" w:lineRule="auto"/>
        <w:jc w:val="center"/>
        <w:rPr>
          <w:rFonts w:ascii="Roboto" w:cs="Roboto" w:eastAsia="Roboto" w:hAnsi="Roboto"/>
          <w:b w:val="1"/>
          <w:bCs w:val="1"/>
          <w:sz w:val="32"/>
          <w:szCs w:val="32"/>
          <w:vertAlign w:val="baseline"/>
        </w:rPr>
      </w:pPr>
      <w:r w:rsidDel="00000000" w:rsidR="00000000" w:rsidRPr="00000000">
        <w:rPr>
          <w:rFonts w:ascii="Roboto" w:cs="Roboto" w:eastAsia="Roboto" w:hAnsi="Roboto"/>
          <w:b w:val="1"/>
          <w:bCs w:val="1"/>
          <w:sz w:val="32"/>
          <w:szCs w:val="32"/>
          <w:rtl w:val="0"/>
        </w:rPr>
        <w:t xml:space="preserve">The </w:t>
      </w:r>
      <w:r w:rsidDel="00000000" w:rsidR="00000000" w:rsidRPr="00000000">
        <w:rPr>
          <w:rFonts w:ascii="Roboto" w:cs="Roboto" w:eastAsia="Roboto" w:hAnsi="Roboto"/>
          <w:b w:val="1"/>
          <w:bCs w:val="1"/>
          <w:sz w:val="32"/>
          <w:szCs w:val="32"/>
          <w:vertAlign w:val="baseline"/>
          <w:rtl w:val="0"/>
        </w:rPr>
        <w:t xml:space="preserve">Program</w:t>
      </w:r>
    </w:p>
    <w:p w:rsidR="00000000" w:rsidDel="00000000" w:rsidP="00000000" w:rsidRDefault="00000000" w:rsidRPr="00000000" w14:paraId="00000042">
      <w:pPr>
        <w:pageBreakBefore w:val="0"/>
        <w:spacing w:after="80" w:lineRule="auto"/>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3">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The goal of our program is to bring the body back to its optimal state of health, where it is self-healing and self-regulating, and able to withstand the stresses placed on it and in it.  While every person’s journey to this state is individual, we follow a general plan to assist you in the healing process.</w:t>
      </w:r>
    </w:p>
    <w:p w:rsidR="00000000" w:rsidDel="00000000" w:rsidP="00000000" w:rsidRDefault="00000000" w:rsidRPr="00000000" w14:paraId="00000044">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One:  Fine Tuning Your Program</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Initially, we ask that you return for follow-up office visits at weekly intervals, so that we are able to properly monitor your healing process and fine-tune your program.  This generally continues for six to twelve weeks.  During these visits, we will use Nutrition Response Testing evaluations to determine the level of stress in your systems and adjust your protocol accordingly.  We will also be reviewing your diet and offering you guidance in regard to any essential improvements in order to maximize the healing process.</w:t>
      </w:r>
      <w:r w:rsidDel="00000000" w:rsidR="00000000" w:rsidRPr="00000000">
        <w:rPr>
          <w:rtl w:val="0"/>
        </w:rPr>
      </w:r>
    </w:p>
    <w:p w:rsidR="00000000" w:rsidDel="00000000" w:rsidP="00000000" w:rsidRDefault="00000000" w:rsidRPr="00000000" w14:paraId="00000045">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b w:val="1"/>
          <w:bCs w:val="1"/>
          <w:sz w:val="26"/>
          <w:szCs w:val="26"/>
          <w:vertAlign w:val="baseline"/>
          <w:rtl w:val="0"/>
        </w:rPr>
        <w:t xml:space="preserve">Step Two:  Natural Healing &amp; Observation Period</w:t>
      </w:r>
      <w:r w:rsidDel="00000000" w:rsidR="00000000" w:rsidRPr="00000000">
        <w:rPr>
          <w:rFonts w:ascii="Roboto" w:cs="Roboto" w:eastAsia="Roboto" w:hAnsi="Roboto"/>
          <w:sz w:val="26"/>
          <w:szCs w:val="26"/>
          <w:rtl w:val="0"/>
        </w:rPr>
        <w:br w:type="textWrapping"/>
      </w:r>
      <w:r w:rsidDel="00000000" w:rsidR="00000000" w:rsidRPr="00000000">
        <w:rPr>
          <w:rFonts w:ascii="Roboto" w:cs="Roboto" w:eastAsia="Roboto" w:hAnsi="Roboto"/>
          <w:vertAlign w:val="baseline"/>
          <w:rtl w:val="0"/>
        </w:rPr>
        <w:t xml:space="preserve">Once your nutritional program is stabilized and you are able to maintain your visits on a bi-weekly basis, you will enter into what we call the “Natural Healing and Observation Period.”  During this time, we will continue to monitor the functioning of each system, as well as identify the layers of distress your body may be holding on to.  As your body heals, you may experience symptoms of past distresses that your body has never fully healed from.  This is a natural response, and, while it may not always be pleasant, it signifies that your body is now healing properly and completely.</w:t>
      </w:r>
    </w:p>
    <w:p w:rsidR="00000000" w:rsidDel="00000000" w:rsidP="00000000" w:rsidRDefault="00000000" w:rsidRPr="00000000" w14:paraId="00000046">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You will continue in this Natural Healing and Observation Period until we find that your body has healed through every layer of distress that had been affecting it.  We may also continue HRV or HQ reassessments at various intervals to monitor this aspect of your healing.  When we see that your body consistently has no system distress and is healing properly, we will know you are ready to graduate to the “Maintenance Phase” of your program.</w:t>
      </w:r>
    </w:p>
    <w:p w:rsidR="00000000" w:rsidDel="00000000" w:rsidP="00000000" w:rsidRDefault="00000000" w:rsidRPr="00000000" w14:paraId="00000047">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Three:  Maintenance Phase</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Once you have achieved a more optimum level of health, naturally you will want to stay well.  That is most easily accomplished through regularly spaced Nutrition Response Testing evaluations periodically over the next year and beyond.  Frequency is determined on an individual basis, anywhere from monthly, to quarterly, semi-annually, or even annually.  Each individual is different.</w:t>
      </w:r>
      <w:r w:rsidDel="00000000" w:rsidR="00000000" w:rsidRPr="00000000">
        <w:rPr>
          <w:rtl w:val="0"/>
        </w:rPr>
      </w:r>
    </w:p>
    <w:p w:rsidR="00000000" w:rsidDel="00000000" w:rsidP="00000000" w:rsidRDefault="00000000" w:rsidRPr="00000000" w14:paraId="00000048">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Initial maintenance programs generally begin with a series of monthly visits (i.e once per month for 4 to 6 months, and then, if appropriate, as wellness checks every three to four months, etc., based on your body’s needs).  Most require lesser amounts of nutritional supplements than were needed in earlier phases of the program, as the body will have begun to heal and regulate itself.  Our experience is that a maintenance program, designed specifically to meet your needs and updated regularly, is the most effective way to protect your health as time goes on, because our bodies are continually to unnatural toxins and nutritionally depleted foods, supplemental nutrition is always recommended to keep your body self-healing and self-regulating. </w:t>
      </w:r>
    </w:p>
    <w:p w:rsidR="00000000" w:rsidDel="00000000" w:rsidP="00000000" w:rsidRDefault="00000000" w:rsidRPr="00000000" w14:paraId="00000049">
      <w:pPr>
        <w:pageBreakBefore w:val="0"/>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It’s Up To Yo</w:t>
      </w:r>
      <w:r w:rsidDel="00000000" w:rsidR="00000000" w:rsidRPr="00000000">
        <w:rPr>
          <w:rFonts w:ascii="Roboto" w:cs="Roboto" w:eastAsia="Roboto" w:hAnsi="Roboto"/>
          <w:b w:val="1"/>
          <w:bCs w:val="1"/>
          <w:sz w:val="32"/>
          <w:szCs w:val="32"/>
          <w:rtl w:val="0"/>
        </w:rPr>
        <w:t xml:space="preserve">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Roboto" w:cs="Roboto" w:eastAsia="Roboto" w:hAnsi="Roboto"/>
          <w:b w:val="1"/>
          <w:bCs w:val="1"/>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The healing that takes place in your body comes largely from supporting your body through nutritional supplementation. However, nutritional supplementation alone will not bring about the ultimate health that we strive for.  A well-balanced diet of nutrient-dense foods is essential to any healing program.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Initial Dietary Recommendations</w:t>
        <w:br w:type="textWrapping"/>
      </w:r>
      <w:r w:rsidDel="00000000" w:rsidR="00000000" w:rsidRPr="00000000">
        <w:rPr>
          <w:rFonts w:ascii="Roboto" w:cs="Roboto" w:eastAsia="Roboto" w:hAnsi="Roboto"/>
          <w:rtl w:val="0"/>
        </w:rPr>
        <w:t xml:space="preserve">At your follow up visit, you will hear more details about our “Eating Right” guidelines for optimal nutritional healing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However, here is a brief overview of our initial dietary recommendations to begin healing your body nutritionally.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Unlimited vegetables and fruits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Vegetables may be raw, sautéed, roasted, stir-fried, &amp; steamed</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Dark green, leafy vegetables are the most nutritionally dense (i.e.: Swiss chard, kale, spinach,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protein in every meal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May be in the form of wild-caught fish, </w:t>
      </w:r>
      <w:r w:rsidDel="00000000" w:rsidR="00000000" w:rsidRPr="00000000">
        <w:rPr>
          <w:rFonts w:ascii="Roboto" w:cs="Roboto" w:eastAsia="Roboto" w:hAnsi="Roboto"/>
          <w:sz w:val="22"/>
          <w:szCs w:val="22"/>
          <w:rtl w:val="0"/>
        </w:rPr>
        <w:t xml:space="preserve">organic or pastured chicken, </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and grass-fed beef</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Avoid pork, shellfish, and soy.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Increase water intake to half of your body weight in fluid ounces. </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Limit caffeine a</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found in coffee, black tea, etc.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good fats in every meal</w:t>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sz w:val="22"/>
          <w:szCs w:val="22"/>
          <w:rtl w:val="0"/>
        </w:rPr>
        <w:t xml:space="preserve">These may be</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in the form of grass fed butter, olive oil, coconut oil, avocado, et</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c.</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Limit sugar and refined grains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Avoid processed foods and food preservatives.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Payment Plan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Initial Consultation…………………………………………………………………………………………………$285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Follow Up Visit………………………………………………………………………………………………………..$95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12 Pack Benefits $970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15% package discount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2 free quick checks (usually $50)</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pageBreakBefore w:val="0"/>
        <w:rPr>
          <w:rFonts w:ascii="Roboto" w:cs="Roboto" w:eastAsia="Roboto" w:hAnsi="Robo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864" w:top="864" w:left="720" w:right="72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tabs>
        <w:tab w:val="center" w:leader="none" w:pos="4320"/>
        <w:tab w:val="right" w:leader="none" w:pos="8640"/>
      </w:tabs>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2166938</wp:posOffset>
          </wp:positionH>
          <wp:positionV relativeFrom="paragraph">
            <wp:posOffset>19051</wp:posOffset>
          </wp:positionV>
          <wp:extent cx="2519363" cy="85541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9363" cy="85541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center"/>
    </w:pPr>
    <w:rPr>
      <w:b w:val="1"/>
      <w:bCs w:val="1"/>
      <w:sz w:val="24"/>
      <w:szCs w:val="24"/>
      <w:vertAlign w:val="baseline"/>
    </w:rPr>
  </w:style>
  <w:style w:type="paragraph" w:styleId="Heading2">
    <w:name w:val="heading 2"/>
    <w:basedOn w:val="Normal"/>
    <w:next w:val="Normal"/>
    <w:pPr>
      <w:keepNext w:val="1"/>
      <w:pageBreakBefore w:val="0"/>
    </w:pPr>
    <w:rPr>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