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300" w:lineRule="auto"/>
        <w:rPr>
          <w:rFonts w:ascii="Roboto" w:cs="Roboto" w:eastAsia="Roboto" w:hAnsi="Roboto"/>
          <w:color w:val="29303b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9303b"/>
          <w:sz w:val="27"/>
          <w:szCs w:val="27"/>
          <w:rtl w:val="0"/>
        </w:rPr>
        <w:t xml:space="preserve">If you want to add more value to this section, we recommend checking out: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480" w:lineRule="auto"/>
        <w:ind w:left="720" w:hanging="360"/>
      </w:pPr>
      <w:hyperlink r:id="rId6">
        <w:r w:rsidDel="00000000" w:rsidR="00000000" w:rsidRPr="00000000">
          <w:rPr>
            <w:rFonts w:ascii="Roboto" w:cs="Roboto" w:eastAsia="Roboto" w:hAnsi="Roboto"/>
            <w:color w:val="007791"/>
            <w:sz w:val="27"/>
            <w:szCs w:val="27"/>
            <w:rtl w:val="0"/>
          </w:rPr>
          <w:t xml:space="preserve">The Ultimate Guide to Recurrent Neural Networks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300" w:lineRule="auto"/>
        <w:rPr>
          <w:rFonts w:ascii="Roboto" w:cs="Roboto" w:eastAsia="Roboto" w:hAnsi="Roboto"/>
          <w:color w:val="29303b"/>
          <w:sz w:val="27"/>
          <w:szCs w:val="27"/>
        </w:rPr>
      </w:pPr>
      <w:r w:rsidDel="00000000" w:rsidR="00000000" w:rsidRPr="00000000">
        <w:rPr>
          <w:rFonts w:ascii="Roboto" w:cs="Roboto" w:eastAsia="Roboto" w:hAnsi="Roboto"/>
          <w:color w:val="29303b"/>
          <w:sz w:val="27"/>
          <w:szCs w:val="27"/>
          <w:rtl w:val="0"/>
        </w:rPr>
        <w:t xml:space="preserve">These resources will compliment this course, so we hope you enjoy!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691206" cy="211048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1206" cy="211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58444" cy="205678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444" cy="2056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90722" cy="207928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722" cy="207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708050" cy="207928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50" cy="207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87532" cy="201798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7532" cy="201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08808" cy="217991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808" cy="2179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5837" cy="20145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5837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8274" cy="21764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274" cy="2176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32200" cy="204311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043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68706" cy="226908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706" cy="226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color w:val="29303b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www.superdatascience.com/the-ultimate-guide-to-recurrent-neural-networks-rnn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