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of Understanding (DOU)</w:t>
      </w:r>
    </w:p>
    <w:p>
      <w:pPr>
        <w:pStyle w:val="Subtitle"/>
      </w:pPr>
      <w:r>
        <w:t>SAP SD Functional Support | EAEDI Special Processes and Sales Order Integration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functional validation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SAP SD Senior Functional Consultants / EAEDI Support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Knowledge-transfer presenters</w:t>
            </w:r>
          </w:p>
        </w:tc>
        <w:tc>
          <w:tcPr>
            <w:tcW w:type="dxa" w:w="4320"/>
          </w:tcPr>
          <w:p>
            <w:r>
              <w:t>Monika Roegele (Consignment &amp; DON); Sven Hildebrand (Sales Orders)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 material</w:t>
            </w:r>
          </w:p>
        </w:tc>
        <w:tc>
          <w:tcPr>
            <w:tcW w:type="dxa" w:w="4320"/>
          </w:tcPr>
          <w:p>
            <w:r>
              <w:t>Provided KT transcript excerpts and five presentation screenshots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on</w:t>
            </w:r>
          </w:p>
        </w:tc>
        <w:tc>
          <w:tcPr>
            <w:tcW w:type="dxa" w:w="4320"/>
          </w:tcPr>
          <w:p>
            <w:r>
              <w:t>24 October 2026</w:t>
            </w:r>
          </w:p>
        </w:tc>
      </w:tr>
    </w:tbl>
    <w:p>
      <w:pPr>
        <w:pStyle w:val="Heading1"/>
      </w:pPr>
      <w:r>
        <w:t>1. Executive Understanding</w:t>
      </w:r>
    </w:p>
    <w:p>
      <w:r>
        <w:t>The sessions explain Schaeffler-specific EAEDI processing beyond standard SAP SD: external consignment stock and its EDLNOT reconciliation, customer-specific delivery order number (DON/Kanban) handling, and inbound sales orders/order changes with outbound confirmations. Support must distinguish EDI mapping/IDoc failures from business data, stock, scheduling agreement, and delivery execution issues.</w:t>
      </w:r>
    </w:p>
    <w:p>
      <w:pPr>
        <w:pStyle w:val="Heading1"/>
      </w:pPr>
      <w:r>
        <w:t>2. Process Landscape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Main SAP object / message</w:t>
            </w:r>
          </w:p>
        </w:tc>
        <w:tc>
          <w:tcPr>
            <w:tcW w:type="dxa" w:w="2880"/>
          </w:tcPr>
          <w:p>
            <w:r>
              <w:t>Key business outcome</w:t>
            </w:r>
          </w:p>
        </w:tc>
      </w:tr>
      <w:tr>
        <w:tc>
          <w:tcPr>
            <w:tcW w:type="dxa" w:w="2880"/>
          </w:tcPr>
          <w:p>
            <w:r>
              <w:t>Consignment</w:t>
            </w:r>
          </w:p>
        </w:tc>
        <w:tc>
          <w:tcPr>
            <w:tcW w:type="dxa" w:w="2880"/>
          </w:tcPr>
          <w:p>
            <w:r>
              <w:t>Consignment scheduling agreement; EDLNOT 30/35/36</w:t>
            </w:r>
          </w:p>
        </w:tc>
        <w:tc>
          <w:tcPr>
            <w:tcW w:type="dxa" w:w="2880"/>
          </w:tcPr>
          <w:p>
            <w:r>
              <w:t>Stock, withdrawal and billing reconciliation</w:t>
            </w:r>
          </w:p>
        </w:tc>
      </w:tr>
      <w:tr>
        <w:tc>
          <w:tcPr>
            <w:tcW w:type="dxa" w:w="2880"/>
          </w:tcPr>
          <w:p>
            <w:r>
              <w:t>DON / Kanban</w:t>
            </w:r>
          </w:p>
        </w:tc>
        <w:tc>
          <w:tcPr>
            <w:tcW w:type="dxa" w:w="2880"/>
          </w:tcPr>
          <w:p>
            <w:r>
              <w:t>Special scheduling agreement (ZV87 per slide); JIT / ZDELFOR1</w:t>
            </w:r>
          </w:p>
        </w:tc>
        <w:tc>
          <w:tcPr>
            <w:tcW w:type="dxa" w:w="2880"/>
          </w:tcPr>
          <w:p>
            <w:r>
              <w:t>Preserve customer Kanban/pickup identifiers through delivery and ASN</w:t>
            </w:r>
          </w:p>
        </w:tc>
      </w:tr>
      <w:tr>
        <w:tc>
          <w:tcPr>
            <w:tcW w:type="dxa" w:w="2880"/>
          </w:tcPr>
          <w:p>
            <w:r>
              <w:t>Sales orders</w:t>
            </w:r>
          </w:p>
        </w:tc>
        <w:tc>
          <w:tcPr>
            <w:tcW w:type="dxa" w:w="2880"/>
          </w:tcPr>
          <w:p>
            <w:r>
              <w:t>ORDERS04; order and order-change messages</w:t>
            </w:r>
          </w:p>
        </w:tc>
        <w:tc>
          <w:tcPr>
            <w:tcW w:type="dxa" w:w="2880"/>
          </w:tcPr>
          <w:p>
            <w:r>
              <w:t>Correct partner determination, tolerance controls and confirmations</w:t>
            </w:r>
          </w:p>
        </w:tc>
      </w:tr>
    </w:tbl>
    <w:p>
      <w:pPr>
        <w:pStyle w:val="Heading1"/>
      </w:pPr>
      <w:r>
        <w:t>3. Consignment Process (EDL)</w:t>
      </w:r>
    </w:p>
    <w:p>
      <w:pPr>
        <w:pStyle w:val="Heading2"/>
      </w:pPr>
      <w:r>
        <w:t>3.1 End-to-end business flow</w:t>
      </w:r>
    </w:p>
    <w:p>
      <w:pPr>
        <w:pStyle w:val="ListNumber"/>
      </w:pPr>
      <w:r>
        <w:t>Customer transmits DELINS requirements to Schaeffler; goods are delivered to a customer-operated or third-party consignment warehouse near the customer.</w:t>
      </w:r>
    </w:p>
    <w:p>
      <w:pPr>
        <w:pStyle w:val="ListNumber"/>
      </w:pPr>
      <w:r>
        <w:t>Ownership of the consignment inventory remains with Schaeffler until the relevant withdrawal/consumption event under the agreed model.</w:t>
      </w:r>
    </w:p>
    <w:p>
      <w:pPr>
        <w:pStyle w:val="ListNumber"/>
      </w:pPr>
      <w:r>
        <w:t>Warehouse sends EDLNOT 30 (physical receipt), EDLNOT 35 (stock position; sometimes 35F free / 35S blocked), and EDLNOT 36 (goods issue/withdrawal).</w:t>
      </w:r>
    </w:p>
    <w:p>
      <w:pPr>
        <w:pStyle w:val="ListNumber"/>
      </w:pPr>
      <w:r>
        <w:t>Schaeffer reconciles the received stock and withdrawal information with SAP stock and the scheduling agreement; withdrawal information supports customer invoicing or self-billing invoice (SBI) reconciliation.</w:t>
      </w:r>
    </w:p>
    <w:p>
      <w:pPr>
        <w:pStyle w:val="Heading2"/>
      </w:pPr>
      <w:r>
        <w:t>3.2 Functional setup and transactions</w:t>
      </w:r>
    </w:p>
    <w:p>
      <w:pPr>
        <w:pStyle w:val="ListBullet"/>
      </w:pPr>
      <w:r>
        <w:t>Consignment scheduling agreement has a special stock partner (consignment destination); the customer may also operate that location.</w:t>
      </w:r>
    </w:p>
    <w:p>
      <w:pPr>
        <w:pStyle w:val="ListBullet"/>
      </w:pPr>
      <w:r>
        <w:t>Cumulative quantities include delivered, received, in-transit and withdrawn/issued quantities. A linked internal sales order can be generated for withdrawal processing.</w:t>
      </w:r>
    </w:p>
    <w:p>
      <w:pPr>
        <w:pStyle w:val="ListBullet"/>
      </w:pPr>
      <w:r>
        <w:t>ZVEDLMON / ZV EDLMON (presentation spelling: ZVEDLMON): monitor EDLNOT inbound consignment messages.</w:t>
      </w:r>
    </w:p>
    <w:p>
      <w:pPr>
        <w:pStyle w:val="ListBullet"/>
      </w:pPr>
      <w:r>
        <w:t>MB58: display customer consignment stock in SAP.</w:t>
      </w:r>
    </w:p>
    <w:p>
      <w:pPr>
        <w:pStyle w:val="ListBullet"/>
      </w:pPr>
      <w:r>
        <w:t>/SGD/SD_EDLMON: business EDL cockpit with traffic-light reconciliation, in-transit quantities, stock and open postings.</w:t>
      </w:r>
    </w:p>
    <w:p>
      <w:pPr>
        <w:pStyle w:val="ListBullet"/>
      </w:pPr>
      <w:r>
        <w:t>/SGD/SD_EDI_MINSTOCK: maintain minimum stock demand; special schedule line M may be generated (illustrated with 480 pieces).</w:t>
      </w:r>
    </w:p>
    <w:p>
      <w:pPr>
        <w:pStyle w:val="ListBullet"/>
      </w:pPr>
      <w:r>
        <w:t>OVD0 / Z_VT664A and VA01 order type ZV89: internal sales-order-type definition/setup shown in presentation; normally onboarding activity, not routine incident handling.</w:t>
      </w:r>
    </w:p>
    <w:p>
      <w:pPr>
        <w:pStyle w:val="ListBullet"/>
      </w:pPr>
      <w:r>
        <w:t>Cumulative reset and special cumulative values are relevant to consignment scheduling agreements; follow customer-specific process before modifying values.</w:t>
      </w:r>
    </w:p>
    <w:p>
      <w:pPr>
        <w:pStyle w:val="Heading2"/>
      </w:pPr>
      <w:r>
        <w:t>3.3 Customer-specific switches</w:t>
      </w:r>
    </w:p>
    <w:p>
      <w:r>
        <w:t>Customer switch configuration is accessed via SM30 and table/view name that appears as ZBK…SH in the transcript; the exact technical name must be verified in the system. Select sold-to party, sales organization and validity period. Under the External Service Provider (ESP) warehouse tab, options described include adding the order number, overriding the unloading point, overriding customer plant, aggregating same-date EDLNOT 35 records, and customer-specific VMI behavior. Do not change switches without approved impact analysis.</w:t>
      </w:r>
    </w:p>
    <w:p>
      <w:pPr>
        <w:pStyle w:val="Heading2"/>
      </w:pPr>
      <w:r>
        <w:t>3.4 Consignment support approach</w:t>
      </w:r>
    </w:p>
    <w:p>
      <w:pPr>
        <w:pStyle w:val="ListNumber"/>
      </w:pPr>
      <w:r>
        <w:t>Open the EDL cockpit for the sales responsible or scheduling agreement; review red/yellow/green status and stock differences.</w:t>
      </w:r>
    </w:p>
    <w:p>
      <w:pPr>
        <w:pStyle w:val="ListNumber"/>
      </w:pPr>
      <w:r>
        <w:t>Compare MB58 stock, cockpit stock, customer-reported EDLNOT 35 stock, cumulative deliveries/withdrawals and in-transit quantity.</w:t>
      </w:r>
    </w:p>
    <w:p>
      <w:pPr>
        <w:pStyle w:val="ListNumber"/>
      </w:pPr>
      <w:r>
        <w:t>Check last receipt date and completeness of EDLNOT 30/35/36 messages; some customers do not send 35 stock reports, so red status may reflect missing stock reporting rather than a posting failure.</w:t>
      </w:r>
    </w:p>
    <w:p>
      <w:pPr>
        <w:pStyle w:val="ListNumber"/>
      </w:pPr>
      <w:r>
        <w:t>Review message-level processing and warnings in ZVEDLMON; reconcile movements chronologically using opening stock + receipts − withdrawals ± corrections.</w:t>
      </w:r>
    </w:p>
    <w:p>
      <w:pPr>
        <w:pStyle w:val="ListNumber"/>
      </w:pPr>
      <w:r>
        <w:t>For failed goods issue or missing delivery, validate stock availability, linked sales document and IDoc processing; escalate business quantity or missing-customer-message issues with evidence.</w:t>
      </w:r>
    </w:p>
    <w:p>
      <w:pPr>
        <w:pStyle w:val="Heading1"/>
      </w:pPr>
      <w:r>
        <w:t>4. Delivery Order Number (DON / Kanban)</w:t>
      </w:r>
    </w:p>
    <w:p>
      <w:r>
        <w:t>DON is a customer-specific process in which schedule-line-level Kanban, run, pickup-sheet or receiving-point information must be preserved on labels, delivery documents and ASN. Schaeffler uses an established customized approach rather than SAP’s newer S/4HANA sequence-JIT process.</w:t>
      </w:r>
    </w:p>
    <w:p>
      <w:pPr>
        <w:pStyle w:val="Heading2"/>
      </w:pPr>
      <w:r>
        <w:t>4.1 Schedule and message behavior</w:t>
      </w:r>
    </w:p>
    <w:p>
      <w:pPr>
        <w:pStyle w:val="ListBullet"/>
      </w:pPr>
      <w:r>
        <w:t>The presentation identifies scheduling agreement ZV87 (and related ZV44 processing).</w:t>
      </w:r>
    </w:p>
    <w:p>
      <w:pPr>
        <w:pStyle w:val="ListBullet"/>
      </w:pPr>
      <w:r>
        <w:t>Special information is usually received in JIT schedules, not forecast schedules; Kanban Detail displays identifiers for individual schedule lines.</w:t>
      </w:r>
    </w:p>
    <w:p>
      <w:pPr>
        <w:pStyle w:val="ListBullet"/>
      </w:pPr>
      <w:r>
        <w:t>ZVDELMON displays forecast/JIT messages, including special DON fields; the slide identifies ZDELFOR1.</w:t>
      </w:r>
    </w:p>
    <w:p>
      <w:pPr>
        <w:pStyle w:val="ListBullet"/>
      </w:pPr>
      <w:r>
        <w:t>Customer receiving point may differ by schedule line and must be retained for downstream delivery/ASN.</w:t>
      </w:r>
    </w:p>
    <w:p>
      <w:pPr>
        <w:pStyle w:val="Heading2"/>
      </w:pPr>
      <w:r>
        <w:t>4.2 Kanban types and delivery creation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Operational impact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One Kanban identifier per handling unit</w:t>
            </w:r>
          </w:p>
        </w:tc>
        <w:tc>
          <w:tcPr>
            <w:tcW w:type="dxa" w:w="2880"/>
          </w:tcPr>
          <w:p>
            <w:r>
              <w:t>Multiple Kanban numbers may be represented within one delivery, subject to packaging and checks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One Kanban identifier per delivery note</w:t>
            </w:r>
          </w:p>
        </w:tc>
        <w:tc>
          <w:tcPr>
            <w:tcW w:type="dxa" w:w="2880"/>
          </w:tcPr>
          <w:p>
            <w:r>
              <w:t>Do not combine different Kanban numbers into one delivery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Described as no longer in use</w:t>
            </w:r>
          </w:p>
        </w:tc>
        <w:tc>
          <w:tcPr>
            <w:tcW w:type="dxa" w:w="2880"/>
          </w:tcPr>
          <w:p>
            <w:r>
              <w:t>Verify legacy customers before any change</w:t>
            </w:r>
          </w:p>
        </w:tc>
      </w:tr>
    </w:tbl>
    <w:p>
      <w:r>
        <w:t>Use the dedicated delivery creation transaction ZDON_VL10 / ZDON_VL10 (transcript appears as “set on VL10”; verify exact code), which validates compatible Kanban grouping. Creating delivery directly from the scheduling agreement may combine open quantities without required DON checks. The session also references ZV44 packaging/deviating order handling and ZV87 setup in the customer-specific switch table; validate exact document type codes before operational use.</w:t>
      </w:r>
    </w:p>
    <w:p>
      <w:pPr>
        <w:pStyle w:val="Heading2"/>
      </w:pPr>
      <w:r>
        <w:t>4.3 Frequent DON incidents</w:t>
      </w:r>
    </w:p>
    <w:p>
      <w:pPr>
        <w:pStyle w:val="ListBullet"/>
      </w:pPr>
      <w:r>
        <w:t>ASN fails or lacks DON number: compare delivery, schedule-line Kanban detail and customer requirement; a manually added line or over-delivery may have blank Kanban information.</w:t>
      </w:r>
    </w:p>
    <w:p>
      <w:pPr>
        <w:pStyle w:val="ListBullet"/>
      </w:pPr>
      <w:r>
        <w:t>Missing Kanban Detail button: check customer-specific switch setup, agreement type and applicability.</w:t>
      </w:r>
    </w:p>
    <w:p>
      <w:pPr>
        <w:pStyle w:val="ListBullet"/>
      </w:pPr>
      <w:r>
        <w:t>Delivery combination error: confirm whether Kanban type 01 or 03 applies; recreate delivery using validated transaction where necessary.</w:t>
      </w:r>
    </w:p>
    <w:p>
      <w:pPr>
        <w:pStyle w:val="ListBullet"/>
      </w:pPr>
      <w:r>
        <w:t>Missing or inconsistent receiving-point / pickup-sheet data: check inbound JIT IDoc, schedule-line fields and delivery transfer.</w:t>
      </w:r>
    </w:p>
    <w:p>
      <w:r>
        <w:t>Important control: do not invent or manually assign a missing Kanban number. Obtain the correct identifier from the sales responsible/customer and follow authorized correction and ASN reprocessing steps.</w:t>
      </w:r>
    </w:p>
    <w:p>
      <w:pPr>
        <w:pStyle w:val="Heading1"/>
      </w:pPr>
      <w:r>
        <w:t>5. EAEDI Sales Orders and Order Changes</w:t>
      </w:r>
    </w:p>
    <w:p>
      <w:pPr>
        <w:pStyle w:val="Heading2"/>
      </w:pPr>
      <w:r>
        <w:t>5.1 Inbound processing</w:t>
      </w:r>
    </w:p>
    <w:p>
      <w:pPr>
        <w:pStyle w:val="ListBullet"/>
      </w:pPr>
      <w:r>
        <w:t>External customers send purchase orders and changes using ORDERS04 basic type, with customer-specific message processing.</w:t>
      </w:r>
    </w:p>
    <w:p>
      <w:pPr>
        <w:pStyle w:val="ListBullet"/>
      </w:pPr>
      <w:r>
        <w:t>Inbound sales-order errors are reviewed in the EAEDI order monitor (transcript pronunciation “CV Ottman / CV Hartmann”; exact SAP transaction must be verified).</w:t>
      </w:r>
    </w:p>
    <w:p>
      <w:pPr>
        <w:pStyle w:val="ListBullet"/>
      </w:pPr>
      <w:r>
        <w:t>Typical exceptions include duplicate orders already created manually, invalid customer material, and IDocs set to status 68 after business intervention.</w:t>
      </w:r>
    </w:p>
    <w:p>
      <w:pPr>
        <w:pStyle w:val="ListBullet"/>
      </w:pPr>
      <w:r>
        <w:t>One ship-to address per sales order is preferred. Using a document-specific address instead of customer master ship-to can prevent expected delivery/shipment consolidation.</w:t>
      </w:r>
    </w:p>
    <w:p>
      <w:pPr>
        <w:pStyle w:val="Heading2"/>
      </w:pPr>
      <w:r>
        <w:t>5.2 Partner determination and master data</w:t>
      </w:r>
    </w:p>
    <w:p>
      <w:pPr>
        <w:pStyle w:val="ListBullet"/>
      </w:pPr>
      <w:r>
        <w:t>VOE4 / EDPA mapping determines internal sold-to, ship-to and potentially bill-to accounts from external EDI partner identifiers; the session also references VOE2 for sales organization determination.</w:t>
      </w:r>
    </w:p>
    <w:p>
      <w:pPr>
        <w:pStyle w:val="ListBullet"/>
      </w:pPr>
      <w:r>
        <w:t>Inbound E1EDKA1 partner segments may include AG (sold-to), LF (vendor) and WE (ship-to). External IDs/branch codes map to SAP customer master accounts.</w:t>
      </w:r>
    </w:p>
    <w:p>
      <w:pPr>
        <w:pStyle w:val="ListBullet"/>
      </w:pPr>
      <w:r>
        <w:t>EDPA and EDSDC are described as required foundational setup for customers using EAEDI sales-order creation and change processing.</w:t>
      </w:r>
    </w:p>
    <w:p>
      <w:pPr>
        <w:pStyle w:val="ListBullet"/>
      </w:pPr>
      <w:r>
        <w:t>Customer master must contain valid ship-to, sales area, partner functions, unloading point where used, and order expert/contact.</w:t>
      </w:r>
    </w:p>
    <w:p>
      <w:pPr>
        <w:pStyle w:val="ListBullet"/>
      </w:pPr>
      <w:r>
        <w:t>Order combination settings differ between scheduling agreements and sales orders; confirm customer delivery-consolidation requirements.</w:t>
      </w:r>
    </w:p>
    <w:p>
      <w:pPr>
        <w:pStyle w:val="Heading2"/>
      </w:pPr>
      <w:r>
        <w:t>5.3 Order change, tolerance and confirmation</w:t>
      </w:r>
    </w:p>
    <w:p>
      <w:pPr>
        <w:pStyle w:val="ListBullet"/>
      </w:pPr>
      <w:r>
        <w:t>Schaeffler-specific tolerance profile is copied to sales-order item at creation, then applied to incoming changes in quantity/date. Sales can adjust approved profile per business requirements.</w:t>
      </w:r>
    </w:p>
    <w:p>
      <w:pPr>
        <w:pStyle w:val="ListBullet"/>
      </w:pPr>
      <w:r>
        <w:t>A strict example shown is profile 003 (90 days / 0%); alternative profile values are customer-specific and require system verification.</w:t>
      </w:r>
    </w:p>
    <w:p>
      <w:pPr>
        <w:pStyle w:val="ListBullet"/>
      </w:pPr>
      <w:r>
        <w:t>Instead of physically deleting a sales-order item after customer cancellation, Schaeffler can set a reason for rejection through customer switch logic.</w:t>
      </w:r>
    </w:p>
    <w:p>
      <w:pPr>
        <w:pStyle w:val="ListBullet"/>
      </w:pPr>
      <w:r>
        <w:t>Customer PO item reference must remain correct when copying or replacing order items; missing reference may block outbound confirmation.</w:t>
      </w:r>
    </w:p>
    <w:p>
      <w:pPr>
        <w:pStyle w:val="ListBullet"/>
      </w:pPr>
      <w:r>
        <w:t>Order confirmation output is header-level; CVAB is referenced as a multipurpose output type. EAEDI, manual EAEDI and internal EAEDI SAP modes are described.</w:t>
      </w:r>
    </w:p>
    <w:p>
      <w:pPr>
        <w:pStyle w:val="ListBullet"/>
      </w:pPr>
      <w:r>
        <w:t>For unconfirmed quantities, customer-specific dummy/future confirmation dates may be sent where EDI requires a date. Such settings are not universal and must be validated.</w:t>
      </w:r>
    </w:p>
    <w:p>
      <w:pPr>
        <w:pStyle w:val="ListBullet"/>
      </w:pPr>
      <w:r>
        <w:t>Order confirmation switch settings can suppress rejected items, control required PO-item checks and customer-specific outbound behavior.</w:t>
      </w:r>
    </w:p>
    <w:p>
      <w:pPr>
        <w:pStyle w:val="Heading1"/>
      </w:pPr>
      <w:r>
        <w:t>6. Functional Incident Triage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Functional validation</w:t>
            </w:r>
          </w:p>
        </w:tc>
        <w:tc>
          <w:tcPr>
            <w:tcW w:type="dxa" w:w="2880"/>
          </w:tcPr>
          <w:p>
            <w:r>
              <w:t>Likely owner / action</w:t>
            </w:r>
          </w:p>
        </w:tc>
      </w:tr>
      <w:tr>
        <w:tc>
          <w:tcPr>
            <w:tcW w:type="dxa" w:w="2880"/>
          </w:tcPr>
          <w:p>
            <w:r>
              <w:t>Consignment red light</w:t>
            </w:r>
          </w:p>
        </w:tc>
        <w:tc>
          <w:tcPr>
            <w:tcW w:type="dxa" w:w="2880"/>
          </w:tcPr>
          <w:p>
            <w:r>
              <w:t>EDLNOT 35 timing; MB58; withdrawals; transit; cockpit</w:t>
            </w:r>
          </w:p>
        </w:tc>
        <w:tc>
          <w:tcPr>
            <w:tcW w:type="dxa" w:w="2880"/>
          </w:tcPr>
          <w:p>
            <w:r>
              <w:t>SD/EAEDI investigate; sales/customer confirm stock</w:t>
            </w:r>
          </w:p>
        </w:tc>
      </w:tr>
      <w:tr>
        <w:tc>
          <w:tcPr>
            <w:tcW w:type="dxa" w:w="2880"/>
          </w:tcPr>
          <w:p>
            <w:r>
              <w:t>EDLNOT posting failure</w:t>
            </w:r>
          </w:p>
        </w:tc>
        <w:tc>
          <w:tcPr>
            <w:tcW w:type="dxa" w:w="2880"/>
          </w:tcPr>
          <w:p>
            <w:r>
              <w:t>IDoc status; scheduling agreement; stock; customer switches</w:t>
            </w:r>
          </w:p>
        </w:tc>
        <w:tc>
          <w:tcPr>
            <w:tcW w:type="dxa" w:w="2880"/>
          </w:tcPr>
          <w:p>
            <w:r>
              <w:t>EAEDI/SD support; integration escalation if mapping</w:t>
            </w:r>
          </w:p>
        </w:tc>
      </w:tr>
      <w:tr>
        <w:tc>
          <w:tcPr>
            <w:tcW w:type="dxa" w:w="2880"/>
          </w:tcPr>
          <w:p>
            <w:r>
              <w:t>DON ASN missing number</w:t>
            </w:r>
          </w:p>
        </w:tc>
        <w:tc>
          <w:tcPr>
            <w:tcW w:type="dxa" w:w="2880"/>
          </w:tcPr>
          <w:p>
            <w:r>
              <w:t>JIT Kanban Detail; delivery; switch; grouping type</w:t>
            </w:r>
          </w:p>
        </w:tc>
        <w:tc>
          <w:tcPr>
            <w:tcW w:type="dxa" w:w="2880"/>
          </w:tcPr>
          <w:p>
            <w:r>
              <w:t>Sales confirms ID; SD/EAEDI authorized fix</w:t>
            </w:r>
          </w:p>
        </w:tc>
      </w:tr>
      <w:tr>
        <w:tc>
          <w:tcPr>
            <w:tcW w:type="dxa" w:w="2880"/>
          </w:tcPr>
          <w:p>
            <w:r>
              <w:t>Sales order wrong partner</w:t>
            </w:r>
          </w:p>
        </w:tc>
        <w:tc>
          <w:tcPr>
            <w:tcW w:type="dxa" w:w="2880"/>
          </w:tcPr>
          <w:p>
            <w:r>
              <w:t>E1EDKA1, EDPA/EDSDC, customer master</w:t>
            </w:r>
          </w:p>
        </w:tc>
        <w:tc>
          <w:tcPr>
            <w:tcW w:type="dxa" w:w="2880"/>
          </w:tcPr>
          <w:p>
            <w:r>
              <w:t>Master data / EAEDI setup owner</w:t>
            </w:r>
          </w:p>
        </w:tc>
      </w:tr>
      <w:tr>
        <w:tc>
          <w:tcPr>
            <w:tcW w:type="dxa" w:w="2880"/>
          </w:tcPr>
          <w:p>
            <w:r>
              <w:t>Order change rejected</w:t>
            </w:r>
          </w:p>
        </w:tc>
        <w:tc>
          <w:tcPr>
            <w:tcW w:type="dxa" w:w="2880"/>
          </w:tcPr>
          <w:p>
            <w:r>
              <w:t>Tolerance profile, order/delivery status</w:t>
            </w:r>
          </w:p>
        </w:tc>
        <w:tc>
          <w:tcPr>
            <w:tcW w:type="dxa" w:w="2880"/>
          </w:tcPr>
          <w:p>
            <w:r>
              <w:t>Sales decides accept/reject; SD supports</w:t>
            </w:r>
          </w:p>
        </w:tc>
      </w:tr>
      <w:tr>
        <w:tc>
          <w:tcPr>
            <w:tcW w:type="dxa" w:w="2880"/>
          </w:tcPr>
          <w:p>
            <w:r>
              <w:t>Order confirmation failure</w:t>
            </w:r>
          </w:p>
        </w:tc>
        <w:tc>
          <w:tcPr>
            <w:tcW w:type="dxa" w:w="2880"/>
          </w:tcPr>
          <w:p>
            <w:r>
              <w:t>CVAB output, PO item reference, partner and output switches</w:t>
            </w:r>
          </w:p>
        </w:tc>
        <w:tc>
          <w:tcPr>
            <w:tcW w:type="dxa" w:w="2880"/>
          </w:tcPr>
          <w:p>
            <w:r>
              <w:t>SD/EAEDI outbound owner subject to agreed scope</w:t>
            </w:r>
          </w:p>
        </w:tc>
      </w:tr>
    </w:tbl>
    <w:p>
      <w:pPr>
        <w:pStyle w:val="Heading1"/>
      </w:pPr>
      <w:r>
        <w:t>7. Support Scope and Handover Understanding</w:t>
      </w:r>
    </w:p>
    <w:p>
      <w:r>
        <w:t>During KT, the internal EAEDI team retains primary intake and manually forwards suitable tickets to the external SAP SD support team. The longer-term target is direct intake by the external team with internal escalation for access-restricted or non-transferred topics. Inbound IDoc readiness is to be confirmed after KT/playback; outbound ASN/order-confirmation ownership was not fully finalized in the supplied discussion. Do not treat this draft as final RACI approval.</w:t>
      </w:r>
    </w:p>
    <w:p>
      <w:pPr>
        <w:pStyle w:val="Heading1"/>
      </w:pPr>
      <w:r>
        <w:t>8. Open Points / Validation Checklist</w:t>
      </w:r>
    </w:p>
    <w:p>
      <w:pPr>
        <w:pStyle w:val="ListBullet"/>
      </w:pPr>
      <w:r>
        <w:t>Confirm exact SAP transaction names: EDL monitor, order monitor, DON delivery creation, customer switch SM30 view and internal order types.</w:t>
      </w:r>
    </w:p>
    <w:p>
      <w:pPr>
        <w:pStyle w:val="ListBullet"/>
      </w:pPr>
      <w:r>
        <w:t>Confirm actual technical IDoc/message types and variants for DON, EDLNOT and ORDERS/ORDCHG by customer/system.</w:t>
      </w:r>
    </w:p>
    <w:p>
      <w:pPr>
        <w:pStyle w:val="ListBullet"/>
      </w:pPr>
      <w:r>
        <w:t>Obtain one anonymized end-to-end IDoc, scheduling agreement, delivery and ASN example for each process.</w:t>
      </w:r>
    </w:p>
    <w:p>
      <w:pPr>
        <w:pStyle w:val="ListBullet"/>
      </w:pPr>
      <w:r>
        <w:t>Confirm whether all outbound ASN and order-confirmation tickets belong to the external team and when intake transition takes effect.</w:t>
      </w:r>
    </w:p>
    <w:p>
      <w:pPr>
        <w:pStyle w:val="ListBullet"/>
      </w:pPr>
      <w:r>
        <w:t>Agree escalation matrix, change authorization, customer contact protocol, and evidence required in tickets.</w:t>
      </w:r>
    </w:p>
    <w:p>
      <w:pPr>
        <w:pStyle w:val="ListBullet"/>
      </w:pPr>
      <w:r>
        <w:t>Validate consignment minimum-stock logic, cumulative reset procedure, and business sign-off ownership.</w:t>
      </w:r>
    </w:p>
    <w:p>
      <w:pPr>
        <w:pStyle w:val="Heading1"/>
      </w:pPr>
      <w:r>
        <w:t>Appendix A. Presentation Evidence</w:t>
      </w:r>
    </w:p>
    <w:p>
      <w:pPr>
        <w:pStyle w:val="Caption"/>
      </w:pPr>
      <w:r>
        <w:t>Figure 1. Consignment Process (EDL)</w:t>
      </w:r>
    </w:p>
    <w:p>
      <w:r>
        <w:drawing>
          <wp:inline xmlns:a="http://schemas.openxmlformats.org/drawingml/2006/main" xmlns:pic="http://schemas.openxmlformats.org/drawingml/2006/picture">
            <wp:extent cx="5120640" cy="2366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1894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Consignment processing ZVEDLMON</w:t>
      </w:r>
    </w:p>
    <w:p>
      <w:r>
        <w:drawing>
          <wp:inline xmlns:a="http://schemas.openxmlformats.org/drawingml/2006/main" xmlns:pic="http://schemas.openxmlformats.org/drawingml/2006/picture">
            <wp:extent cx="5120640" cy="2366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1894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Consignment process: Cums</w:t>
      </w:r>
    </w:p>
    <w:p>
      <w:r>
        <w:drawing>
          <wp:inline xmlns:a="http://schemas.openxmlformats.org/drawingml/2006/main" xmlns:pic="http://schemas.openxmlformats.org/drawingml/2006/picture">
            <wp:extent cx="5120640" cy="23669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1895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4. Customer switch framework for EDLNOT</w:t>
      </w:r>
    </w:p>
    <w:p>
      <w:r>
        <w:drawing>
          <wp:inline xmlns:a="http://schemas.openxmlformats.org/drawingml/2006/main" xmlns:pic="http://schemas.openxmlformats.org/drawingml/2006/picture">
            <wp:extent cx="5120640" cy="23669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1895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 SA ZV87 + ZV44 – DON Process</w:t>
      </w:r>
    </w:p>
    <w:p>
      <w:r>
        <w:drawing>
          <wp:inline xmlns:a="http://schemas.openxmlformats.org/drawingml/2006/main" xmlns:pic="http://schemas.openxmlformats.org/drawingml/2006/picture">
            <wp:extent cx="5120640" cy="2366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1895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 caveat: the transcript is AI-generated and includes fragmented or phonetically rendered SAP codes. Items marked for verification must be checked against the productive SAP configuration and official Schaeffler documentation before execution.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Internal working document  •  Based on KT transcript and presentation screenshots  •  24 Oct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SCHAEFFLER  |  SAP SD / EAEDI KNOWLEDGE TRANSFER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3E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5D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