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pPr>
      <w:r>
        <w:rPr>
          <w:rFonts w:ascii="Arial" w:hAnsi="Arial"/>
          <w:b/>
          <w:color w:val="17324D"/>
          <w:sz w:val="60"/>
        </w:rPr>
        <w:t>DOCUMENT OF</w:t>
        <w:br/>
        <w:t>UNDERSTANDING</w:t>
      </w:r>
    </w:p>
    <w:p>
      <w:pPr>
        <w:spacing w:after="440"/>
      </w:pPr>
      <w:r>
        <w:rPr>
          <w:rFonts w:ascii="Arial" w:hAnsi="Arial"/>
          <w:b/>
          <w:color w:val="2783DE"/>
          <w:sz w:val="24"/>
        </w:rPr>
        <w:t>SAP SD • CUSTOMER EDI • KNOWLEDGE TRANSFER</w:t>
      </w:r>
    </w:p>
    <w:p>
      <w:pPr>
        <w:spacing w:after="440"/>
      </w:pPr>
      <w:r>
        <w:rPr>
          <w:color w:val="2C8C8C"/>
          <w:sz w:val="24"/>
        </w:rPr>
        <w:t>━━━━━━━━━━━━━━━━━━━━━━━━━━━━━━━━━━━━━━━━━━━━━━━━</w:t>
      </w:r>
    </w:p>
    <w:p>
      <w:pPr>
        <w:spacing w:after="80"/>
      </w:pPr>
      <w:r>
        <w:rPr>
          <w:b/>
          <w:color w:val="62727E"/>
        </w:rPr>
        <w:t>Prepared for:</w:t>
      </w:r>
    </w:p>
    <w:p>
      <w:pPr>
        <w:spacing w:after="400"/>
      </w:pPr>
      <w:r>
        <w:rPr>
          <w:b/>
          <w:color w:val="17324D"/>
          <w:sz w:val="40"/>
        </w:rPr>
        <w:t>Puneet Kumar</w:t>
      </w:r>
    </w:p>
    <w:p>
      <w:pPr>
        <w:spacing w:after="80"/>
      </w:pPr>
      <w:r>
        <w:rPr>
          <w:b/>
          <w:color w:val="263238"/>
          <w:sz w:val="24"/>
        </w:rPr>
        <w:t>SAP SD Senior Consultant | 5+ years of experience</w:t>
      </w:r>
    </w:p>
    <w:p>
      <w:pPr>
        <w:spacing w:after="80"/>
      </w:pPr>
      <w:r>
        <w:rPr>
          <w:sz w:val="21"/>
        </w:rPr>
        <w:t>Focus: SAP SD order-to-cash, automotive EDI, IDoc processing and production support</w:t>
      </w:r>
    </w:p>
    <w:p>
      <w:pPr>
        <w:spacing w:before="1400" w:after="0"/>
      </w:pPr>
      <w:r>
        <w:rPr>
          <w:color w:val="62727E"/>
          <w:sz w:val="18"/>
        </w:rPr>
        <w:t>Document date: 20 September 2026</w:t>
      </w:r>
    </w:p>
    <w:tbl>
      <w:tblPr>
        <w:tblW w:type="auto" w:w="0"/>
        <w:jc w:val="center"/>
        <w:tblLayout w:type="fixed"/>
        <w:tblLook w:firstColumn="1" w:firstRow="1" w:lastColumn="0" w:lastRow="0" w:noHBand="0" w:noVBand="1" w:val="04A0"/>
      </w:tblPr>
      <w:tblGrid>
        <w:gridCol w:w="9576"/>
      </w:tblGrid>
      <w:tr>
        <w:tc>
          <w:tcPr>
            <w:tcW w:type="dxa" w:w="10166"/>
            <w:shd w:fill="F8FAFC"/>
            <w:tcMar>
              <w:top w:w="150" w:type="dxa"/>
              <w:start w:w="180" w:type="dxa"/>
              <w:bottom w:w="150" w:type="dxa"/>
              <w:end w:w="180" w:type="dxa"/>
            </w:tcMar>
            <w:tcBorders>
              <w:top w:val="single" w:sz="4" w:color="D9E2EA"/>
              <w:left w:val="single" w:sz="20" w:color="2C8C8C"/>
              <w:bottom w:val="single" w:sz="4" w:color="D9E2EA"/>
              <w:right w:val="single" w:sz="4" w:color="D9E2EA"/>
            </w:tcBorders>
          </w:tcPr>
          <w:p>
            <w:pPr>
              <w:spacing w:after="80"/>
            </w:pPr>
            <w:r/>
            <w:r>
              <w:rPr>
                <w:rFonts w:ascii="Arial" w:hAnsi="Arial"/>
                <w:b/>
                <w:color w:val="17324D"/>
                <w:sz w:val="22"/>
              </w:rPr>
              <w:t>Purpose of this document</w:t>
            </w:r>
          </w:p>
          <w:p>
            <w:pPr>
              <w:spacing w:after="0"/>
            </w:pPr>
            <w:r>
              <w:rPr>
                <w:rFonts w:ascii="Arial" w:hAnsi="Arial"/>
                <w:color w:val="263238"/>
                <w:sz w:val="19"/>
              </w:rPr>
              <w:t>This DOU records the understanding demonstrated from the provided EDI knowledge-transfer presentation and session transcript. It is intended as a professional capability and KT-alignment document, not as a substitute for customer-specific implementation guidelines or approved operating procedures.</w:t>
            </w:r>
          </w:p>
        </w:tc>
      </w:tr>
    </w:tbl>
    <w:p>
      <w:pPr>
        <w:spacing w:after="0"/>
      </w:pPr>
    </w:p>
    <w:p>
      <w:r>
        <w:br w:type="page"/>
      </w:r>
    </w:p>
    <w:p>
      <w:pPr>
        <w:pStyle w:val="Heading1"/>
        <w:keepNext/>
      </w:pPr>
      <w:r>
        <w:t>1. Executive Summary</w:t>
      </w:r>
    </w:p>
    <w:p>
      <w:r>
        <w:t>This Document of Understanding presents Puneet Kumar as an SAP SD Senior Consultant with 5+ years of experience and establishes his understanding of customer-facing EDI business processes in SAP ERP. The document consolidates the KT topics into a structured view of process ownership, message flows, IDoc architecture, monitoring, and support responsibilities.</w:t>
      </w:r>
    </w:p>
    <w:tbl>
      <w:tblPr>
        <w:tblW w:type="auto" w:w="0"/>
        <w:jc w:val="center"/>
        <w:tblLayout w:type="fixed"/>
        <w:tblLook w:firstColumn="1" w:firstRow="1" w:lastColumn="0" w:lastRow="0" w:noHBand="0" w:noVBand="1" w:val="04A0"/>
      </w:tblPr>
      <w:tblGrid>
        <w:gridCol w:w="9576"/>
      </w:tblGrid>
      <w:tr>
        <w:tc>
          <w:tcPr>
            <w:tcW w:type="dxa" w:w="10166"/>
            <w:shd w:fill="E5F2FC"/>
            <w:tcMar>
              <w:top w:w="150" w:type="dxa"/>
              <w:start w:w="180" w:type="dxa"/>
              <w:bottom w:w="150" w:type="dxa"/>
              <w:end w:w="180" w:type="dxa"/>
            </w:tcMar>
            <w:tcBorders>
              <w:top w:val="single" w:sz="4" w:color="D9E2EA"/>
              <w:left w:val="single" w:sz="20" w:color="2783DE"/>
              <w:bottom w:val="single" w:sz="4" w:color="D9E2EA"/>
              <w:right w:val="single" w:sz="4" w:color="D9E2EA"/>
            </w:tcBorders>
          </w:tcPr>
          <w:p>
            <w:pPr>
              <w:spacing w:after="80"/>
            </w:pPr>
            <w:r/>
            <w:r>
              <w:rPr>
                <w:rFonts w:ascii="Arial" w:hAnsi="Arial"/>
                <w:b/>
                <w:color w:val="17324D"/>
                <w:sz w:val="22"/>
              </w:rPr>
              <w:t>Professional positioning</w:t>
            </w:r>
          </w:p>
          <w:p>
            <w:pPr>
              <w:spacing w:after="0"/>
            </w:pPr>
            <w:r>
              <w:rPr>
                <w:rFonts w:ascii="Arial" w:hAnsi="Arial"/>
                <w:color w:val="263238"/>
                <w:sz w:val="19"/>
              </w:rPr>
              <w:t>Puneet combines SAP SD functional knowledge with practical understanding of EDI-enabled order-to-cash processes, including scheduling agreements, sales orders, order confirmations, shipments, invoicing and exception handling.</w:t>
            </w:r>
          </w:p>
        </w:tc>
      </w:tr>
    </w:tbl>
    <w:p>
      <w:pPr>
        <w:spacing w:after="0"/>
      </w:pPr>
    </w:p>
    <w:p>
      <w:pPr>
        <w:pStyle w:val="Heading2"/>
        <w:keepNext/>
      </w:pPr>
      <w:r>
        <w:t>Key capability statement</w:t>
      </w:r>
    </w:p>
    <w:p>
      <w:pPr>
        <w:pStyle w:val="ListBullet"/>
        <w:spacing w:after="60"/>
        <w:ind w:left="317"/>
      </w:pPr>
      <w:r>
        <w:t>Translate customer EDI requirements and implementation guidelines into SAP SD process and mapping requirements.</w:t>
      </w:r>
    </w:p>
    <w:p>
      <w:pPr>
        <w:pStyle w:val="ListBullet"/>
        <w:spacing w:after="60"/>
        <w:ind w:left="317"/>
      </w:pPr>
      <w:r>
        <w:t>Understand inbound and outbound IDoc lifecycles, including control, data and status records.</w:t>
      </w:r>
    </w:p>
    <w:p>
      <w:pPr>
        <w:pStyle w:val="ListBullet"/>
        <w:spacing w:after="60"/>
        <w:ind w:left="317"/>
      </w:pPr>
      <w:r>
        <w:t>Support EDI-driven customer processes across order management, scheduling agreements, consignment, ASN and invoicing.</w:t>
      </w:r>
    </w:p>
    <w:p>
      <w:pPr>
        <w:pStyle w:val="ListBullet"/>
        <w:spacing w:after="60"/>
        <w:ind w:left="317"/>
      </w:pPr>
      <w:r>
        <w:t>Investigate failures through SAP monitoring, status analysis, application logs and functional coordination.</w:t>
      </w:r>
    </w:p>
    <w:p>
      <w:pPr>
        <w:pStyle w:val="ListBullet"/>
        <w:spacing w:after="60"/>
        <w:ind w:left="317"/>
      </w:pPr>
      <w:r>
        <w:t>Work effectively across functional EDI, SCM, logistics and FI teams while respecting regional ownership and ticket-routing models.</w:t>
      </w:r>
    </w:p>
    <w:p>
      <w:pPr>
        <w:pStyle w:val="Heading2"/>
        <w:keepNext/>
      </w:pPr>
      <w:r>
        <w:t>Evidence base</w:t>
      </w:r>
    </w:p>
    <w:p>
      <w:r>
        <w:t>Prepared from the supplied “KT-session TCS – EDI supported business processes” presentation and its associated knowledge-transfer transcript. The source material describes the Schaeffler pre-merger SAP EP1 landscape and related EDI operations; system names, custom objects and team assignments should therefore be validated against the current production organization before formal use.</w:t>
      </w:r>
    </w:p>
    <w:p>
      <w:pPr>
        <w:pStyle w:val="Heading1"/>
        <w:keepNext/>
      </w:pPr>
      <w:r>
        <w:t>2. Consultant Profile &amp; Scope of Understanding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Profile area</w:t>
            </w:r>
          </w:p>
        </w:tc>
        <w:tc>
          <w:tcPr>
            <w:tcW w:type="dxa" w:w="6984"/>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Understanding demonstrated</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Role</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SAP SD Senior Consultant</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Experience</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5+ years in SAP SD and related business-process support</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Primary domain</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Order-to-cash, customer EDI and cross-functional integration</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SAP understanding</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Sales orders, scheduling agreements, deliveries, shipments, billing and cross-company scenarios</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Integration understanding</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EDI standards, middleware transformation, SAP IDocs, acknowledgements and monitoring</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Support orientation</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Incident analysis, error triage, stakeholder coordination and controlled resolution</w:t>
            </w:r>
          </w:p>
        </w:tc>
      </w:tr>
    </w:tbl>
    <w:p>
      <w:pPr>
        <w:pStyle w:val="Heading2"/>
        <w:keepNext/>
      </w:pPr>
      <w:r>
        <w:t>Scope boundaries</w:t>
      </w:r>
    </w:p>
    <w:p>
      <w:pPr>
        <w:pStyle w:val="ListBullet"/>
        <w:spacing w:after="60"/>
        <w:ind w:left="317"/>
      </w:pPr>
      <w:r>
        <w:t>This DOU describes understanding of the processes presented in the KT session; it does not claim ownership of every custom development, interface or regional support queue.</w:t>
      </w:r>
    </w:p>
    <w:p>
      <w:pPr>
        <w:pStyle w:val="ListBullet"/>
        <w:spacing w:after="60"/>
        <w:ind w:left="317"/>
      </w:pPr>
      <w:r>
        <w:t>Customer-specific EDI guidelines remain the controlling source for segment usage, qualifiers, field positions and partner-specific deviations.</w:t>
      </w:r>
    </w:p>
    <w:p>
      <w:pPr>
        <w:pStyle w:val="ListBullet"/>
        <w:spacing w:after="60"/>
        <w:ind w:left="317"/>
      </w:pPr>
      <w:r>
        <w:t>Current organizational assignments, system landscape and ticket groups should be reconfirmed before operational execution.</w:t>
      </w:r>
    </w:p>
    <w:p>
      <w:pPr>
        <w:pStyle w:val="Heading1"/>
        <w:keepNext/>
      </w:pPr>
      <w:r>
        <w:t>3. EDI &amp; Message Standards Understanding</w:t>
      </w:r>
    </w:p>
    <w:p>
      <w:r>
        <w:t>Electronic Data Interchange (EDI) is the structured exchange of routine business documents between computer systems using agreed message standards. In the KT context, EDI reduces manual entry, accelerates transmission and supports accurate, repeatable business processing between customers, suppliers, carriers, warehouses and ERP systems.</w:t>
      </w:r>
    </w:p>
    <w:p>
      <w:pPr>
        <w:pStyle w:val="Heading2"/>
        <w:keepNext/>
      </w:pPr>
      <w:r>
        <w:t>Standards and formats covered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Format</w:t>
            </w:r>
          </w:p>
        </w:tc>
        <w:tc>
          <w:tcPr>
            <w:tcW w:type="dxa" w:w="3024"/>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Typical context</w:t>
            </w:r>
          </w:p>
        </w:tc>
        <w:tc>
          <w:tcPr>
            <w:tcW w:type="dxa" w:w="475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Consultant understanding</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EDIFACT</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International structured messages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Read segment identifiers, qualifiers, partner information and item-level content.</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ANSI X12</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North American customer messages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Recognize transaction sets such as 830 releases/forecasts and interpret partner-specific segments.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VDA</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Automotive industry standard</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Understand fixed/structured message layouts such as forecast releases and the need for customer guidelines.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ODETTE</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European automotive/industry exchange</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Use the partner implementation guide to interpret segment and field semantics.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RND / XML</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Customer or platform-specific formats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Understand transformation into SAP IDoc structures through the EDI platform.</w:t>
            </w:r>
          </w:p>
        </w:tc>
      </w:tr>
    </w:tbl>
    <w:p>
      <w:pPr>
        <w:spacing w:after="120"/>
      </w:pPr>
      <w:r>
        <w:rPr>
          <w:b/>
          <w:color w:val="17324D"/>
        </w:rPr>
        <w:t xml:space="preserve">Implementation principle: </w:t>
      </w:r>
      <w:r>
        <w:t>the customer’s implementation guideline is authoritative, including partner-specific conventions for articles, material numbers, purchase-order references and qualifiers.</w:t>
      </w:r>
    </w:p>
    <w:p>
      <w:pPr>
        <w:pStyle w:val="Heading2"/>
        <w:keepNext/>
      </w:pPr>
      <w:r>
        <w:t>Practical message-reading approach</w:t>
      </w:r>
    </w:p>
    <w:p>
      <w:pPr>
        <w:pStyle w:val="ListBullet"/>
        <w:spacing w:after="60"/>
        <w:ind w:left="317"/>
      </w:pPr>
      <w:r>
        <w:t>Start with the message envelope and identify the sender, receiver, message type and interchange reference.</w:t>
      </w:r>
    </w:p>
    <w:p>
      <w:pPr>
        <w:pStyle w:val="ListBullet"/>
        <w:spacing w:after="60"/>
        <w:ind w:left="317"/>
      </w:pPr>
      <w:r>
        <w:t>Read segment identifiers and qualifiers before interpreting the values.</w:t>
      </w:r>
    </w:p>
    <w:p>
      <w:pPr>
        <w:pStyle w:val="ListBullet"/>
        <w:spacing w:after="60"/>
        <w:ind w:left="317"/>
      </w:pPr>
      <w:r>
        <w:t>Locate partner, material, purchase-order, schedule and quantity/date information at the correct hierarchy level.</w:t>
      </w:r>
    </w:p>
    <w:p>
      <w:pPr>
        <w:pStyle w:val="ListBullet"/>
        <w:spacing w:after="60"/>
        <w:ind w:left="317"/>
      </w:pPr>
      <w:r>
        <w:t>Validate interpretation against the customer’s implementation guideline before designing or troubleshooting SAP mapping.</w:t>
      </w:r>
    </w:p>
    <w:p>
      <w:pPr>
        <w:pStyle w:val="Heading1"/>
        <w:keepNext/>
      </w:pPr>
      <w:r>
        <w:t>4. SAP SD / Customer EDI Process Coverage</w:t>
      </w:r>
    </w:p>
    <w:p>
      <w:r>
        <w:t>The following matrix consolidates the customer-EDI process coverage described in the KT material.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IDoc message type</w:t>
            </w:r>
          </w:p>
        </w:tc>
        <w:tc>
          <w:tcPr>
            <w:tcW w:type="dxa" w:w="115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Dir.</w:t>
            </w:r>
          </w:p>
        </w:tc>
        <w:tc>
          <w:tcPr>
            <w:tcW w:type="dxa" w:w="223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Business process</w:t>
            </w:r>
          </w:p>
        </w:tc>
        <w:tc>
          <w:tcPr>
            <w:tcW w:type="dxa" w:w="4320"/>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Functional understanding</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DELINS</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Forecast / JIT release</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Updates scheduling-agreement releases; supports long-term forecast and near-term shipping schedule demand.</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EDLNOT (30/35/36)</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Consignment process</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Supports goods receipt, stock balance and withdrawal-related information.</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ORDERS / ORDCHG</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Sales order create/change</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Creates or changes sales orders from customer EDI requirements.</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ORDRSP</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OUTB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Sales order confirmation</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Communicates confirmed quantities and dates back to the customer; lines may be split when dates/quantities differ.</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SHPMNT</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OUTB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Advanced Shipping Notification</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Sends shipment/transport information to the customer, including consignment context.</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INVOIC</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OUTB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Customer sales invoice</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Transmits billing information to the customer.</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SBWAP</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Self-billing invoice</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Receives customer-generated self-billing information.</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STATUS</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Technical / functional acknowledgement</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Receives customer status and acknowledgement information.</w:t>
            </w:r>
          </w:p>
        </w:tc>
      </w:tr>
      <w:tr>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WSW / SPEEDI</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INB</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Monitoring and acknowledgements</w:t>
            </w:r>
          </w:p>
        </w:tc>
        <w:tc>
          <w:tcPr>
            <w:tcW w:type="dxa" w:w="2541"/>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Used mainly for North American scenarios such as technical/functional acknowledgements, goods receipt and routing/text messages.</w:t>
            </w:r>
          </w:p>
        </w:tc>
      </w:tr>
    </w:tbl>
    <w:tbl>
      <w:tblPr>
        <w:tblW w:type="auto" w:w="0"/>
        <w:jc w:val="center"/>
        <w:tblLayout w:type="fixed"/>
        <w:tblLook w:firstColumn="1" w:firstRow="1" w:lastColumn="0" w:lastRow="0" w:noHBand="0" w:noVBand="1" w:val="04A0"/>
      </w:tblPr>
      <w:tblGrid>
        <w:gridCol w:w="9576"/>
      </w:tblGrid>
      <w:tr>
        <w:tc>
          <w:tcPr>
            <w:tcW w:type="dxa" w:w="10166"/>
            <w:shd w:fill="E8F1EC"/>
            <w:tcMar>
              <w:top w:w="150" w:type="dxa"/>
              <w:start w:w="180" w:type="dxa"/>
              <w:bottom w:w="150" w:type="dxa"/>
              <w:end w:w="180" w:type="dxa"/>
            </w:tcMar>
            <w:tcBorders>
              <w:top w:val="single" w:sz="4" w:color="D9E2EA"/>
              <w:left w:val="single" w:sz="20" w:color="46A171"/>
              <w:bottom w:val="single" w:sz="4" w:color="D9E2EA"/>
              <w:right w:val="single" w:sz="4" w:color="D9E2EA"/>
            </w:tcBorders>
          </w:tcPr>
          <w:p>
            <w:pPr>
              <w:spacing w:after="80"/>
            </w:pPr>
            <w:r/>
            <w:r>
              <w:rPr>
                <w:rFonts w:ascii="Arial" w:hAnsi="Arial"/>
                <w:b/>
                <w:color w:val="17324D"/>
                <w:sz w:val="22"/>
              </w:rPr>
              <w:t>Business insight</w:t>
            </w:r>
          </w:p>
          <w:p>
            <w:pPr>
              <w:spacing w:after="0"/>
            </w:pPr>
            <w:r>
              <w:rPr>
                <w:rFonts w:ascii="Arial" w:hAnsi="Arial"/>
                <w:color w:val="263238"/>
                <w:sz w:val="19"/>
              </w:rPr>
              <w:t>Not every customer uses the complete message set. The applicable message types depend on customer requirements and the agreed partner process; the customer defines the required exchange pattern.</w:t>
            </w:r>
          </w:p>
        </w:tc>
      </w:tr>
    </w:tbl>
    <w:p>
      <w:pPr>
        <w:spacing w:after="0"/>
      </w:pPr>
    </w:p>
    <w:p>
      <w:pPr>
        <w:pStyle w:val="Heading1"/>
        <w:keepNext/>
      </w:pPr>
      <w:r>
        <w:t>5. Integration Architecture &amp; IDoc Lifecycle</w:t>
      </w:r>
    </w:p>
    <w:p>
      <w:r>
        <w:t>The KT material describes SAP EP1 as the ERP platform connected to an EDI subsystem using IBIS / Axway TradeSync Integration Manager. External EDI formats are transformed into SAP IDocs for inbound processing, and SAP IDocs are transformed into partner-specific formats for outbound delivery.</w:t>
      </w:r>
    </w:p>
    <w:p>
      <w:pPr>
        <w:pStyle w:val="Heading2"/>
        <w:keepNext/>
      </w:pPr>
      <w:r>
        <w:t>Conceptual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w:t>
            </w:r>
          </w:p>
        </w:tc>
        <w:tc>
          <w:tcPr>
            <w:tcW w:type="dxa" w:w="2160"/>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Layer</w:t>
            </w:r>
          </w:p>
        </w:tc>
        <w:tc>
          <w:tcPr>
            <w:tcW w:type="dxa" w:w="6984"/>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Understanding</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1</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External partner</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Customer, supplier, carrier or warehouse sends/receives a business message.</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2</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EDI subsystem</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IBIS / Axway TSIM transforms EDIFACT, VDA, ODETTE, RND, ANSI X12, XML or related formats.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3</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SAP EP1</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Inbound messages create/update SAP SD documents; outbound events generate IDocs.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4</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Custom processing</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Pre-checks, BAdIs, user exits and custom status tables support partner-specific processing.</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5</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Monitoring &amp; resolution</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Functional teams monitor status, investigate errors and coordinate correction/reprocessing.</w:t>
            </w:r>
          </w:p>
        </w:tc>
      </w:tr>
    </w:tbl>
    <w:p>
      <w:pPr>
        <w:pStyle w:val="Heading2"/>
        <w:keepNext/>
      </w:pPr>
      <w:r>
        <w:t>IDoc structure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Component</w:t>
            </w:r>
          </w:p>
        </w:tc>
        <w:tc>
          <w:tcPr>
            <w:tcW w:type="dxa" w:w="2880"/>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Purpose</w:t>
            </w:r>
          </w:p>
        </w:tc>
        <w:tc>
          <w:tcPr>
            <w:tcW w:type="dxa" w:w="4824"/>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Operational use</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Control record</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Administrative information</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Identify IDoc number, sender, receiver and message/type metadata.</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Data records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Application/business data</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Read segments containing partner, material, order, schedule, quantity and date information.</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Status records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Processing history</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Determine whether the IDoc was added, waiting, processed successfully or stopped with an error.</w:t>
            </w:r>
          </w:p>
        </w:tc>
      </w:tr>
    </w:tbl>
    <w:p>
      <w:pPr>
        <w:pStyle w:val="Heading2"/>
        <w:keepNext/>
      </w:pPr>
      <w:r>
        <w:t>Inbound DELINS / scheduling-agreement release</w:t>
      </w:r>
    </w:p>
    <w:p>
      <w:pPr>
        <w:pStyle w:val="ListBullet"/>
        <w:spacing w:after="60"/>
        <w:ind w:left="317"/>
      </w:pPr>
      <w:r>
        <w:t>IDoc arrives in status 64 and waits for background processing.</w:t>
      </w:r>
    </w:p>
    <w:p>
      <w:pPr>
        <w:pStyle w:val="ListBullet"/>
        <w:spacing w:after="60"/>
        <w:ind w:left="317"/>
      </w:pPr>
      <w:r>
        <w:t>Processing code from WE20 invokes the configured inbound flow, including pre-checks and standard function-module processing.</w:t>
      </w:r>
    </w:p>
    <w:p>
      <w:pPr>
        <w:pStyle w:val="ListBullet"/>
        <w:spacing w:after="60"/>
        <w:ind w:left="317"/>
      </w:pPr>
      <w:r>
        <w:t>Customer-specific extensions, field adjustments, BAdIs and user exits may be applied; errors are routed to the relevant monitor/error-handling process.</w:t>
      </w:r>
    </w:p>
    <w:p>
      <w:pPr>
        <w:pStyle w:val="ListBullet"/>
        <w:spacing w:after="60"/>
        <w:ind w:left="317"/>
      </w:pPr>
      <w:r>
        <w:t>On success, the scheduling-agreement release is updated and processing information/flags are written for monitoring and follow-up.</w:t>
      </w:r>
    </w:p>
    <w:p>
      <w:pPr>
        <w:pStyle w:val="Heading2"/>
        <w:keepNext/>
      </w:pPr>
      <w:r>
        <w:t>Outbound ASN / SHPMNT</w:t>
      </w:r>
    </w:p>
    <w:p>
      <w:pPr>
        <w:pStyle w:val="ListBullet"/>
        <w:spacing w:after="60"/>
        <w:ind w:left="317"/>
      </w:pPr>
      <w:r>
        <w:t>Shipment loading reaches the relevant completion status and triggers the outbound message flow.</w:t>
      </w:r>
    </w:p>
    <w:p>
      <w:pPr>
        <w:pStyle w:val="ListBullet"/>
        <w:spacing w:after="60"/>
        <w:ind w:left="317"/>
      </w:pPr>
      <w:r>
        <w:t>Pre-checks validate shipment information before SHPMNT IDoc creation.</w:t>
      </w:r>
    </w:p>
    <w:p>
      <w:pPr>
        <w:pStyle w:val="ListBullet"/>
        <w:spacing w:after="60"/>
        <w:ind w:left="317"/>
      </w:pPr>
      <w:r>
        <w:t>BAdIs/user exits and post-processing adjust standard fields and extensions as required.</w:t>
      </w:r>
    </w:p>
    <w:p>
      <w:pPr>
        <w:pStyle w:val="ListBullet"/>
        <w:spacing w:after="60"/>
        <w:ind w:left="317"/>
      </w:pPr>
      <w:r>
        <w:t>The SHPMNT05 IDoc is transformed by the EDI subsystem into the customer’s agreed external format.</w:t>
      </w:r>
    </w:p>
    <w:p>
      <w:pPr>
        <w:pStyle w:val="Heading1"/>
        <w:keepNext/>
      </w:pPr>
      <w:r>
        <w:t>6. Direct Shipment, Consignment &amp; Billing Understanding</w:t>
      </w:r>
    </w:p>
    <w:p>
      <w:r>
        <w:t>The session explained a direct-shipment scenario in which customer messages enter the EDI subsystem, create or update sales-order activity in SAP EP1, and result in outbound order responses, shipping notifications and invoices. A cross-company relationship may exist between the production company/plant and the sales-order company/sales organization.</w:t>
      </w:r>
    </w:p>
    <w:p>
      <w:pPr>
        <w:pStyle w:val="Heading2"/>
        <w:keepNext/>
      </w:pPr>
      <w:r>
        <w:t>Key functional points</w:t>
      </w:r>
    </w:p>
    <w:p>
      <w:pPr>
        <w:pStyle w:val="ListBullet"/>
        <w:spacing w:after="60"/>
        <w:ind w:left="317"/>
      </w:pPr>
      <w:r>
        <w:t>Forecast releases support planning and longer-term demand; shipping schedules communicate direct, date-specific requirements.</w:t>
      </w:r>
    </w:p>
    <w:p>
      <w:pPr>
        <w:pStyle w:val="ListBullet"/>
        <w:spacing w:after="60"/>
        <w:ind w:left="317"/>
      </w:pPr>
      <w:r>
        <w:t>Sales-order confirmations may split quantities across multiple dates when the requested quantity cannot be confirmed on one date.</w:t>
      </w:r>
    </w:p>
    <w:p>
      <w:pPr>
        <w:pStyle w:val="ListBullet"/>
        <w:spacing w:after="60"/>
        <w:ind w:left="317"/>
      </w:pPr>
      <w:r>
        <w:t>Shipping advice informs the customer when goods are expected to arrive at its plant.</w:t>
      </w:r>
    </w:p>
    <w:p>
      <w:pPr>
        <w:pStyle w:val="ListBullet"/>
        <w:spacing w:after="60"/>
        <w:ind w:left="317"/>
      </w:pPr>
      <w:r>
        <w:t>Consignment terminology must be distinguished from transport/loading concepts; the KT specifically differentiates shipment/consignment handling from multi-stop truck-load transport.</w:t>
      </w:r>
    </w:p>
    <w:p>
      <w:pPr>
        <w:pStyle w:val="ListBullet"/>
        <w:spacing w:after="60"/>
        <w:ind w:left="317"/>
      </w:pPr>
      <w:r>
        <w:t>Billing and self-billing messages complete the customer-facing order-to-cash exchange.</w:t>
      </w:r>
    </w:p>
    <w:tbl>
      <w:tblPr>
        <w:tblW w:type="auto" w:w="0"/>
        <w:jc w:val="center"/>
        <w:tblLayout w:type="fixed"/>
        <w:tblLook w:firstColumn="1" w:firstRow="1" w:lastColumn="0" w:lastRow="0" w:noHBand="0" w:noVBand="1" w:val="04A0"/>
      </w:tblPr>
      <w:tblGrid>
        <w:gridCol w:w="9576"/>
      </w:tblGrid>
      <w:tr>
        <w:tc>
          <w:tcPr>
            <w:tcW w:type="dxa" w:w="10166"/>
            <w:shd w:fill="E5F2FC"/>
            <w:tcMar>
              <w:top w:w="150" w:type="dxa"/>
              <w:start w:w="180" w:type="dxa"/>
              <w:bottom w:w="150" w:type="dxa"/>
              <w:end w:w="180" w:type="dxa"/>
            </w:tcMar>
            <w:tcBorders>
              <w:top w:val="single" w:sz="4" w:color="D9E2EA"/>
              <w:left w:val="single" w:sz="20" w:color="2783DE"/>
              <w:bottom w:val="single" w:sz="4" w:color="D9E2EA"/>
              <w:right w:val="single" w:sz="4" w:color="D9E2EA"/>
            </w:tcBorders>
          </w:tcPr>
          <w:p>
            <w:pPr>
              <w:spacing w:after="80"/>
            </w:pPr>
            <w:r/>
            <w:r>
              <w:rPr>
                <w:rFonts w:ascii="Arial" w:hAnsi="Arial"/>
                <w:b/>
                <w:color w:val="17324D"/>
                <w:sz w:val="22"/>
              </w:rPr>
              <w:t>Senior-consultant perspective</w:t>
            </w:r>
          </w:p>
          <w:p>
            <w:pPr>
              <w:spacing w:after="0"/>
            </w:pPr>
            <w:r>
              <w:rPr>
                <w:rFonts w:ascii="Arial" w:hAnsi="Arial"/>
                <w:color w:val="263238"/>
                <w:sz w:val="19"/>
              </w:rPr>
              <w:t>A reliable SAP SD EDI solution requires both process knowledge and message-level literacy: the consultant must connect the customer’s business demand to the correct SAP document, IDoc message, partner rule, status and resolution path.</w:t>
            </w:r>
          </w:p>
        </w:tc>
      </w:tr>
    </w:tbl>
    <w:p>
      <w:pPr>
        <w:spacing w:after="0"/>
      </w:pPr>
    </w:p>
    <w:p>
      <w:pPr>
        <w:pStyle w:val="Heading1"/>
        <w:keepNext/>
      </w:pPr>
      <w:r>
        <w:t>7. Operating Model, Ownership &amp; Collaboration</w:t>
      </w:r>
    </w:p>
    <w:p>
      <w:r>
        <w:t>The KT material presents a regional and functional support model. Assignment groups and ownership may evolve with organizational changes, so the model below should be treated as the session baseline and verified before use.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Team / area</w:t>
            </w:r>
          </w:p>
        </w:tc>
        <w:tc>
          <w:tcPr>
            <w:tcW w:type="dxa" w:w="3096"/>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Primary responsibility</w:t>
            </w:r>
          </w:p>
        </w:tc>
        <w:tc>
          <w:tcPr>
            <w:tcW w:type="dxa" w:w="4104"/>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Examples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Customer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Customer and intercompany sales-side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Sales orders, scheduling agreements, consignment, ASN, self-billing and sales invoices.</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SCM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External-vendor and procurement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Purchase orders, purchasing scheduling agreements and confirmations via SupplyOn/EDI.</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Logistics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Warehouse, inbound ASN and carrier interfaces</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Warehouse interfaces and carrier EDI.</w:t>
            </w:r>
          </w:p>
        </w:tc>
      </w:tr>
      <w:tr>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FI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Finance-related EDI</w:t>
            </w:r>
          </w:p>
        </w:tc>
        <w:tc>
          <w:tcPr>
            <w:tcW w:type="dxa" w:w="3389"/>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Invoice receipt and remittance advice.</w:t>
            </w:r>
          </w:p>
        </w:tc>
      </w:tr>
    </w:tbl>
    <w:p>
      <w:pPr>
        <w:pStyle w:val="Heading2"/>
        <w:keepNext/>
      </w:pPr>
      <w:r>
        <w:t>Support approach expected from Puneet</w:t>
      </w:r>
    </w:p>
    <w:p>
      <w:pPr>
        <w:pStyle w:val="ListBullet"/>
        <w:spacing w:after="60"/>
        <w:ind w:left="317"/>
      </w:pPr>
      <w:r>
        <w:t>Classify the issue by process, message type, direction, customer/region and SAP document impact.</w:t>
      </w:r>
    </w:p>
    <w:p>
      <w:pPr>
        <w:pStyle w:val="ListBullet"/>
        <w:spacing w:after="60"/>
        <w:ind w:left="317"/>
      </w:pPr>
      <w:r>
        <w:t>Confirm whether the issue is data, configuration, mapping, middleware, SAP processing or master-data related.</w:t>
      </w:r>
    </w:p>
    <w:p>
      <w:pPr>
        <w:pStyle w:val="ListBullet"/>
        <w:spacing w:after="60"/>
        <w:ind w:left="317"/>
      </w:pPr>
      <w:r>
        <w:t>Coordinate with the correct regional/functionally accountable team rather than routing solely by symptom.</w:t>
      </w:r>
    </w:p>
    <w:p>
      <w:pPr>
        <w:pStyle w:val="ListBullet"/>
        <w:spacing w:after="60"/>
        <w:ind w:left="317"/>
      </w:pPr>
      <w:r>
        <w:t>Document the root cause, correction, reprocessing result and any preventive action.</w:t>
      </w:r>
    </w:p>
    <w:p>
      <w:pPr>
        <w:pStyle w:val="Heading1"/>
        <w:keepNext/>
      </w:pPr>
      <w:r>
        <w:t>8. Monitoring, Error Handling &amp; Resolution Method</w:t>
      </w:r>
    </w:p>
    <w:p>
      <w:r>
        <w:t>The KT references SAP monitors for arriving forecasts/JIT releases, incoming orders, self-billing procedures and EDI messages. These monitors support operational visibility into light status, IDoc number, sender, creation date, message type and processing status.</w:t>
      </w:r>
    </w:p>
    <w:p>
      <w:pPr>
        <w:pStyle w:val="Heading2"/>
        <w:keepNext/>
      </w:pPr>
      <w:r>
        <w:t>Recommended triage sequence</w:t>
      </w:r>
    </w:p>
    <w:p>
      <w:pPr>
        <w:pStyle w:val="ListNumber"/>
        <w:spacing w:after="60"/>
        <w:ind w:left="360"/>
      </w:pPr>
      <w:r>
        <w:t>Identify the business process and direction (inbound/outbound).</w:t>
      </w:r>
    </w:p>
    <w:p>
      <w:pPr>
        <w:pStyle w:val="ListNumber"/>
        <w:spacing w:after="60"/>
        <w:ind w:left="360"/>
      </w:pPr>
      <w:r>
        <w:t>Capture the IDoc number, message type, sender/receiver, creation time and related SAP document.</w:t>
      </w:r>
    </w:p>
    <w:p>
      <w:pPr>
        <w:pStyle w:val="ListNumber"/>
        <w:spacing w:after="60"/>
        <w:ind w:left="360"/>
      </w:pPr>
      <w:r>
        <w:t>Review control, data and status records; determine the last successful status and the failure point.</w:t>
      </w:r>
    </w:p>
    <w:p>
      <w:pPr>
        <w:pStyle w:val="ListNumber"/>
        <w:spacing w:after="60"/>
        <w:ind w:left="360"/>
      </w:pPr>
      <w:r>
        <w:t>Validate master data and customer-specific rules, including material/customer-material mapping, partner profile, schedule agreement and required dates/quantities.</w:t>
      </w:r>
    </w:p>
    <w:p>
      <w:pPr>
        <w:pStyle w:val="ListNumber"/>
        <w:spacing w:after="60"/>
        <w:ind w:left="360"/>
      </w:pPr>
      <w:r>
        <w:t>Check whether the issue is in EDI transformation, SAP pre-check, standard function module, BAdI/user exit, application document creation or post-processing.</w:t>
      </w:r>
    </w:p>
    <w:p>
      <w:pPr>
        <w:pStyle w:val="ListNumber"/>
        <w:spacing w:after="60"/>
        <w:ind w:left="360"/>
      </w:pPr>
      <w:r>
        <w:t>Correct the root cause through the approved process, then reprocess and verify the resulting SAP document and outbound acknowledgement/message.</w:t>
      </w:r>
    </w:p>
    <w:p>
      <w:pPr>
        <w:pStyle w:val="ListNumber"/>
        <w:spacing w:after="60"/>
        <w:ind w:left="360"/>
      </w:pPr>
      <w:r>
        <w:t>Record the resolution and communicate impact, workaround and prevention to stakeholders.</w:t>
      </w:r>
    </w:p>
    <w:tbl>
      <w:tblPr>
        <w:tblW w:type="auto" w:w="0"/>
        <w:jc w:val="center"/>
        <w:tblLayout w:type="fixed"/>
        <w:tblLook w:firstColumn="1" w:firstRow="1" w:lastColumn="0" w:lastRow="0" w:noHBand="0" w:noVBand="1" w:val="04A0"/>
      </w:tblPr>
      <w:tblGrid>
        <w:gridCol w:w="9576"/>
      </w:tblGrid>
      <w:tr>
        <w:tc>
          <w:tcPr>
            <w:tcW w:type="dxa" w:w="10166"/>
            <w:shd w:fill="E8F1EC"/>
            <w:tcMar>
              <w:top w:w="150" w:type="dxa"/>
              <w:start w:w="180" w:type="dxa"/>
              <w:bottom w:w="150" w:type="dxa"/>
              <w:end w:w="180" w:type="dxa"/>
            </w:tcMar>
            <w:tcBorders>
              <w:top w:val="single" w:sz="4" w:color="D9E2EA"/>
              <w:left w:val="single" w:sz="20" w:color="46A171"/>
              <w:bottom w:val="single" w:sz="4" w:color="D9E2EA"/>
              <w:right w:val="single" w:sz="4" w:color="D9E2EA"/>
            </w:tcBorders>
          </w:tcPr>
          <w:p>
            <w:pPr>
              <w:spacing w:after="80"/>
            </w:pPr>
            <w:r/>
            <w:r>
              <w:rPr>
                <w:rFonts w:ascii="Arial" w:hAnsi="Arial"/>
                <w:b/>
                <w:color w:val="17324D"/>
                <w:sz w:val="22"/>
              </w:rPr>
              <w:t>Control principle</w:t>
            </w:r>
          </w:p>
          <w:p>
            <w:pPr>
              <w:spacing w:after="0"/>
            </w:pPr>
            <w:r>
              <w:rPr>
                <w:rFonts w:ascii="Arial" w:hAnsi="Arial"/>
                <w:color w:val="263238"/>
                <w:sz w:val="19"/>
              </w:rPr>
              <w:t>Use standard SAP fields and approved extension points wherever possible. Avoid creating unnecessary shipment enhancements or custom fields when the required information can be represented in standard structures.</w:t>
            </w:r>
          </w:p>
        </w:tc>
      </w:tr>
    </w:tbl>
    <w:p>
      <w:pPr>
        <w:spacing w:after="0"/>
      </w:pPr>
    </w:p>
    <w:p>
      <w:pPr>
        <w:pStyle w:val="Heading1"/>
        <w:keepNext/>
      </w:pPr>
      <w:r>
        <w:t>9. Formal Understanding &amp; Acknowledgement</w:t>
      </w:r>
    </w:p>
    <w:p>
      <w:r>
        <w:t>By signing below, the undersigned acknowledge that this DOU accurately summarizes the scope of knowledge transfer reviewed and the professional understanding expected from Puneet Kumar in the role of SAP SD Senior Consultant. The DOU is a capability and alignment record; it does not replace project-specific design documents, customer implementation guides, security procedures or formal approval workflows.</w:t>
      </w:r>
    </w:p>
    <w:p>
      <w:pPr>
        <w:pStyle w:val="Heading2"/>
        <w:keepNext/>
      </w:pPr>
      <w:r>
        <w:t>Statement of understanding</w:t>
      </w:r>
    </w:p>
    <w:p>
      <w:r>
        <w:t>I, Puneet Kumar, understand the SAP SD customer-EDI business processes, message standards, IDoc structure and support approach described in this document. I understand that successful delivery requires validating customer-specific guidelines, SAP configuration/master data, partner profiles, middleware mappings, monitoring procedures and current ownership before making production changes.</w:t>
      </w:r>
    </w:p>
    <w:tbl>
      <w:tblPr>
        <w:tblW w:type="auto" w:w="0"/>
        <w:tblLook w:firstColumn="1" w:firstRow="1" w:lastColumn="0" w:lastRow="0" w:noHBand="0" w:noVBand="1" w:val="04A0"/>
      </w:tblPr>
      <w:tblGrid>
        <w:gridCol w:w="5083"/>
        <w:gridCol w:w="5083"/>
      </w:tblGrid>
      <w:tr>
        <w:tc>
          <w:tcPr>
            <w:tcW w:type="dxa" w:w="4752"/>
            <w:tcBorders>
              <w:bottom w:val="single" w:sz="6" w:color="D9E2EA"/>
            </w:tcBorders>
            <w:tcMar>
              <w:top w:w="100" w:type="dxa"/>
              <w:start w:w="80" w:type="dxa"/>
              <w:bottom w:w="180" w:type="dxa"/>
              <w:end w:w="80" w:type="dxa"/>
            </w:tcMar>
          </w:tcPr>
          <w:p>
            <w:pPr>
              <w:spacing w:after="0"/>
            </w:pPr>
            <w:r/>
            <w:r>
              <w:rPr>
                <w:rFonts w:ascii="Arial" w:hAnsi="Arial"/>
                <w:b/>
                <w:color w:val="17324D"/>
                <w:sz w:val="19"/>
              </w:rPr>
              <w:t>Consultant</w:t>
            </w:r>
          </w:p>
        </w:tc>
        <w:tc>
          <w:tcPr>
            <w:tcW w:type="dxa" w:w="4752"/>
            <w:tcBorders>
              <w:bottom w:val="single" w:sz="6" w:color="D9E2EA"/>
            </w:tcBorders>
            <w:tcMar>
              <w:top w:w="100" w:type="dxa"/>
              <w:start w:w="80" w:type="dxa"/>
              <w:bottom w:w="180" w:type="dxa"/>
              <w:end w:w="80" w:type="dxa"/>
            </w:tcMar>
          </w:tcPr>
          <w:p>
            <w:pPr>
              <w:spacing w:after="0"/>
            </w:pPr>
            <w:r/>
            <w:r>
              <w:rPr>
                <w:rFonts w:ascii="Arial" w:hAnsi="Arial"/>
                <w:b/>
                <w:color w:val="17324D"/>
                <w:sz w:val="19"/>
              </w:rPr>
              <w:t>Reviewer / Manager</w:t>
            </w:r>
          </w:p>
        </w:tc>
      </w:tr>
      <w:tr>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Puneet Kumar</w:t>
            </w:r>
          </w:p>
        </w:tc>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Name: ______________________________</w:t>
            </w:r>
          </w:p>
        </w:tc>
      </w:tr>
      <w:tr>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Signature: ___________________________</w:t>
            </w:r>
          </w:p>
        </w:tc>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Signature: ___________________________</w:t>
            </w:r>
          </w:p>
        </w:tc>
      </w:tr>
      <w:tr>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Date: 20 September 2026</w:t>
            </w:r>
          </w:p>
        </w:tc>
        <w:tc>
          <w:tcPr>
            <w:tcW w:type="dxa" w:w="4752"/>
            <w:tcBorders>
              <w:bottom w:val="single" w:sz="6" w:color="D9E2EA"/>
            </w:tcBorders>
            <w:tcMar>
              <w:top w:w="100" w:type="dxa"/>
              <w:start w:w="80" w:type="dxa"/>
              <w:bottom w:w="180" w:type="dxa"/>
              <w:end w:w="80" w:type="dxa"/>
            </w:tcMar>
          </w:tcPr>
          <w:p>
            <w:pPr>
              <w:spacing w:after="0"/>
            </w:pPr>
            <w:r/>
            <w:r>
              <w:rPr>
                <w:rFonts w:ascii="Arial" w:hAnsi="Arial"/>
                <w:b w:val="0"/>
                <w:color w:val="263238"/>
                <w:sz w:val="19"/>
              </w:rPr>
              <w:t>Date: ______________________________</w:t>
            </w:r>
          </w:p>
        </w:tc>
      </w:tr>
    </w:tbl>
    <w:p>
      <w:pPr>
        <w:pStyle w:val="Heading1"/>
        <w:keepNext/>
      </w:pPr>
      <w:r>
        <w:t>Appendix A — Reference Terms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Term</w:t>
            </w:r>
          </w:p>
        </w:tc>
        <w:tc>
          <w:tcPr>
            <w:tcW w:type="dxa" w:w="7560"/>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17324D"/>
          </w:tcPr>
          <w:p>
            <w:pPr>
              <w:spacing w:after="40" w:before="40"/>
            </w:pPr>
            <w:r>
              <w:rPr>
                <w:rFonts w:ascii="Arial" w:hAnsi="Arial"/>
                <w:b/>
                <w:color w:val="FFFFFF"/>
                <w:sz w:val="18"/>
              </w:rPr>
            </w:r>
            <w:r>
              <w:rPr>
                <w:rFonts w:ascii="Arial" w:hAnsi="Arial"/>
                <w:b/>
                <w:color w:val="FFFFFF"/>
                <w:sz w:val="18"/>
              </w:rPr>
              <w:t>Meaning</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ASN</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Advanced Shipping Notification</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BAdI</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Business Add-In used for enhancement logic</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EDI</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Electronic Data Interchange</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IDoc</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Intermediate Document used for SAP integration</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JIT</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Just-in-time delivery/release process</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SAP EP1</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SAP ERP production system referenced in the KT material</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color w:val="263238"/>
                <w:sz w:val="19"/>
              </w:rPr>
              <w:t>TSIM</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tcPr>
          <w:p>
            <w:pPr>
              <w:spacing w:after="40" w:before="40"/>
            </w:pPr>
            <w:r>
              <w:rPr>
                <w:rFonts w:ascii="Arial" w:hAnsi="Arial"/>
                <w:color w:val="263238"/>
                <w:sz w:val="19"/>
              </w:rPr>
            </w:r>
            <w:r>
              <w:rPr>
                <w:rFonts w:ascii="Arial" w:hAnsi="Arial"/>
                <w:b w:val="0"/>
                <w:color w:val="263238"/>
                <w:sz w:val="19"/>
              </w:rPr>
              <w:t>TradeSync Integration Manager referenced as the EDI integration platform</w:t>
            </w:r>
          </w:p>
        </w:tc>
      </w:tr>
      <w:tr>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color w:val="263238"/>
                <w:sz w:val="19"/>
              </w:rPr>
              <w:t>VAN / AS2 / OFTP2</w:t>
            </w:r>
          </w:p>
        </w:tc>
        <w:tc>
          <w:tcPr>
            <w:tcW w:type="dxa" w:w="5083"/>
            <w:vAlign w:val="center"/>
            <w:tcMar>
              <w:top w:w="100" w:type="dxa"/>
              <w:start w:w="120" w:type="dxa"/>
              <w:bottom w:w="100" w:type="dxa"/>
              <w:end w:w="120" w:type="dxa"/>
            </w:tcMar>
            <w:tcBorders>
              <w:top w:val="single" w:sz="6" w:color="D9E2EA"/>
              <w:left w:val="single" w:sz="6" w:color="D9E2EA"/>
              <w:bottom w:val="single" w:sz="6" w:color="D9E2EA"/>
              <w:right w:val="single" w:sz="6" w:color="D9E2EA"/>
            </w:tcBorders>
            <w:shd w:fill="FAFBFC"/>
          </w:tcPr>
          <w:p>
            <w:pPr>
              <w:spacing w:after="40" w:before="40"/>
            </w:pPr>
            <w:r>
              <w:rPr>
                <w:rFonts w:ascii="Arial" w:hAnsi="Arial"/>
                <w:color w:val="263238"/>
                <w:sz w:val="19"/>
              </w:rPr>
            </w:r>
            <w:r>
              <w:rPr>
                <w:rFonts w:ascii="Arial" w:hAnsi="Arial"/>
                <w:b w:val="0"/>
                <w:color w:val="263238"/>
                <w:sz w:val="19"/>
              </w:rPr>
              <w:t>Communication channels/protocols referenced for EDI exchange</w:t>
            </w:r>
          </w:p>
        </w:tc>
      </w:tr>
    </w:tbl>
    <w:p>
      <w:pPr>
        <w:spacing w:before="280" w:after="0"/>
      </w:pPr>
      <w:r>
        <w:rPr>
          <w:i/>
          <w:color w:val="62727E"/>
          <w:sz w:val="17"/>
        </w:rPr>
        <w:t>Prepared from supplied KT materials • Professional summary • Validate against current project documentation before operational use</w:t>
      </w:r>
    </w:p>
    <w:sectPr w:rsidR="00FC693F" w:rsidRPr="0006063C" w:rsidSect="00034616">
      <w:headerReference w:type="default" r:id="rId9"/>
      <w:footerReference w:type="default" r:id="rId10"/>
      <w:pgSz w:w="12240" w:h="15840"/>
      <w:pgMar w:top="936"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727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2727E"/>
        <w:sz w:val="16"/>
      </w:rPr>
      <w:t>PUNEET KUMAR  |  SAP SD / CUSTOMER EDI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783DE"/>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2C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