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800"/>
      </w:pPr>
    </w:p>
    <w:p>
      <w:pPr>
        <w:spacing w:after="160"/>
      </w:pPr>
      <w:r>
        <w:rPr>
          <w:rFonts w:ascii="Calibri" w:cs="Calibri" w:eastAsia="Calibri" w:hAnsi="Calibri"/>
          <w:b/>
          <w:bCs/>
          <w:color w:val="8A93A3"/>
          <w:sz w:val="20"/>
          <w:szCs w:val="20"/>
        </w:rPr>
        <w:t xml:space="preserve">GULFTAINER OPERATIONS PLATFORM</w:t>
      </w:r>
    </w:p>
    <w:p>
      <w:pPr>
        <w:spacing w:after="160"/>
      </w:pPr>
      <w:r>
        <w:rPr>
          <w:rFonts w:ascii="Calibri" w:cs="Calibri" w:eastAsia="Calibri" w:hAnsi="Calibri"/>
          <w:b/>
          <w:bCs/>
          <w:color w:val="0F1729"/>
          <w:sz w:val="52"/>
          <w:szCs w:val="52"/>
        </w:rPr>
        <w:t xml:space="preserve">Project Documentation</w:t>
      </w:r>
    </w:p>
    <w:p>
      <w:pPr>
        <w:spacing w:after="400"/>
      </w:pPr>
      <w:r>
        <w:rPr>
          <w:rFonts w:ascii="Calibri" w:cs="Calibri" w:eastAsia="Calibri" w:hAnsi="Calibri"/>
          <w:color w:val="5B6576"/>
          <w:sz w:val="24"/>
          <w:szCs w:val="24"/>
        </w:rPr>
        <w:t xml:space="preserve">Research, requirements, prototype design and the production architecture for Gulftainer’s container operations, inland logistics, warehousing and finance platform.</w:t>
      </w:r>
    </w:p>
    <w:p>
      <w:pPr>
        <w:pBdr>
          <w:bottom w:val="single" w:color="283F8F" w:sz="12" w:space="1"/>
        </w:pBdr>
        <w:spacing w:after="300"/>
      </w:pPr>
    </w:p>
    <w:p>
      <w:pPr>
        <w:tabs>
          <w:tab w:val="left" w:pos="2600"/>
        </w:tabs>
        <w:spacing w:after="70"/>
      </w:pPr>
      <w:r>
        <w:rPr>
          <w:rFonts w:ascii="Calibri" w:cs="Calibri" w:eastAsia="Calibri" w:hAnsi="Calibri"/>
          <w:color w:val="8A93A3"/>
          <w:sz w:val="20"/>
          <w:szCs w:val="20"/>
        </w:rPr>
        <w:t xml:space="preserve">Version</w:t>
      </w:r>
      <w:r>
        <w:rPr>
          <w:rFonts w:ascii="Calibri" w:cs="Calibri" w:eastAsia="Calibri" w:hAnsi="Calibri"/>
          <w:color w:val="0F1729"/>
          <w:sz w:val="20"/>
          <w:szCs w:val="20"/>
        </w:rPr>
        <w:t xml:space="preserve">	1.0</w:t>
      </w:r>
    </w:p>
    <w:p>
      <w:pPr>
        <w:tabs>
          <w:tab w:val="left" w:pos="2600"/>
        </w:tabs>
        <w:spacing w:after="70"/>
      </w:pPr>
      <w:r>
        <w:rPr>
          <w:rFonts w:ascii="Calibri" w:cs="Calibri" w:eastAsia="Calibri" w:hAnsi="Calibri"/>
          <w:color w:val="8A93A3"/>
          <w:sz w:val="20"/>
          <w:szCs w:val="20"/>
        </w:rPr>
        <w:t xml:space="preserve">Date</w:t>
      </w:r>
      <w:r>
        <w:rPr>
          <w:rFonts w:ascii="Calibri" w:cs="Calibri" w:eastAsia="Calibri" w:hAnsi="Calibri"/>
          <w:color w:val="0F1729"/>
          <w:sz w:val="20"/>
          <w:szCs w:val="20"/>
        </w:rPr>
        <w:t xml:space="preserve">	30 October 2026</w:t>
      </w:r>
    </w:p>
    <w:p>
      <w:pPr>
        <w:tabs>
          <w:tab w:val="left" w:pos="2600"/>
        </w:tabs>
        <w:spacing w:after="70"/>
      </w:pPr>
      <w:r>
        <w:rPr>
          <w:rFonts w:ascii="Calibri" w:cs="Calibri" w:eastAsia="Calibri" w:hAnsi="Calibri"/>
          <w:color w:val="8A93A3"/>
          <w:sz w:val="20"/>
          <w:szCs w:val="20"/>
        </w:rPr>
        <w:t xml:space="preserve">Author</w:t>
      </w:r>
      <w:r>
        <w:rPr>
          <w:rFonts w:ascii="Calibri" w:cs="Calibri" w:eastAsia="Calibri" w:hAnsi="Calibri"/>
          <w:color w:val="0F1729"/>
          <w:sz w:val="20"/>
          <w:szCs w:val="20"/>
        </w:rPr>
        <w:t xml:space="preserve">	Puneet Shukla</w:t>
      </w:r>
    </w:p>
    <w:p>
      <w:pPr>
        <w:tabs>
          <w:tab w:val="left" w:pos="2600"/>
        </w:tabs>
        <w:spacing w:after="70"/>
      </w:pPr>
      <w:r>
        <w:rPr>
          <w:rFonts w:ascii="Calibri" w:cs="Calibri" w:eastAsia="Calibri" w:hAnsi="Calibri"/>
          <w:color w:val="8A93A3"/>
          <w:sz w:val="20"/>
          <w:szCs w:val="20"/>
        </w:rPr>
        <w:t xml:space="preserve">Organisation</w:t>
      </w:r>
      <w:r>
        <w:rPr>
          <w:rFonts w:ascii="Calibri" w:cs="Calibri" w:eastAsia="Calibri" w:hAnsi="Calibri"/>
          <w:color w:val="0F1729"/>
          <w:sz w:val="20"/>
          <w:szCs w:val="20"/>
        </w:rPr>
        <w:t xml:space="preserve">	SSI Maya</w:t>
      </w:r>
    </w:p>
    <w:p>
      <w:pPr>
        <w:tabs>
          <w:tab w:val="left" w:pos="2600"/>
        </w:tabs>
        <w:spacing w:after="70"/>
      </w:pPr>
      <w:r>
        <w:rPr>
          <w:rFonts w:ascii="Calibri" w:cs="Calibri" w:eastAsia="Calibri" w:hAnsi="Calibri"/>
          <w:color w:val="8A93A3"/>
          <w:sz w:val="20"/>
          <w:szCs w:val="20"/>
        </w:rPr>
        <w:t xml:space="preserve">Prepared for</w:t>
      </w:r>
      <w:r>
        <w:rPr>
          <w:rFonts w:ascii="Calibri" w:cs="Calibri" w:eastAsia="Calibri" w:hAnsi="Calibri"/>
          <w:color w:val="0F1729"/>
          <w:sz w:val="20"/>
          <w:szCs w:val="20"/>
        </w:rPr>
        <w:t xml:space="preserve">	Gulftainer Company Limited, IT Infrastructure and Operations</w:t>
      </w:r>
    </w:p>
    <w:p>
      <w:pPr>
        <w:tabs>
          <w:tab w:val="left" w:pos="2600"/>
        </w:tabs>
        <w:spacing w:after="70"/>
      </w:pPr>
      <w:r>
        <w:rPr>
          <w:rFonts w:ascii="Calibri" w:cs="Calibri" w:eastAsia="Calibri" w:hAnsi="Calibri"/>
          <w:color w:val="8A93A3"/>
          <w:sz w:val="20"/>
          <w:szCs w:val="20"/>
        </w:rPr>
        <w:t xml:space="preserve">Repository</w:t>
      </w:r>
      <w:r>
        <w:rPr>
          <w:rFonts w:ascii="Calibri" w:cs="Calibri" w:eastAsia="Calibri" w:hAnsi="Calibri"/>
          <w:color w:val="0F1729"/>
          <w:sz w:val="20"/>
          <w:szCs w:val="20"/>
        </w:rPr>
        <w:t xml:space="preserve">	https://github.com/puneet2343/gulftainer-operations-platform</w:t>
      </w:r>
    </w:p>
    <w:p>
      <w:pPr>
        <w:tabs>
          <w:tab w:val="left" w:pos="2600"/>
        </w:tabs>
        <w:spacing w:after="70"/>
      </w:pPr>
      <w:r>
        <w:rPr>
          <w:rFonts w:ascii="Calibri" w:cs="Calibri" w:eastAsia="Calibri" w:hAnsi="Calibri"/>
          <w:color w:val="8A93A3"/>
          <w:sz w:val="20"/>
          <w:szCs w:val="20"/>
        </w:rPr>
        <w:t xml:space="preserve">Live prototype</w:t>
      </w:r>
      <w:r>
        <w:rPr>
          <w:rFonts w:ascii="Calibri" w:cs="Calibri" w:eastAsia="Calibri" w:hAnsi="Calibri"/>
          <w:color w:val="0F1729"/>
          <w:sz w:val="20"/>
          <w:szCs w:val="20"/>
        </w:rPr>
        <w:t xml:space="preserve">	Vercel deployment link to be added after deployment</w:t>
      </w:r>
    </w:p>
    <w:p>
      <w:pPr>
        <w:tabs>
          <w:tab w:val="left" w:pos="2600"/>
        </w:tabs>
        <w:spacing w:after="70"/>
      </w:pPr>
      <w:r>
        <w:rPr>
          <w:rFonts w:ascii="Calibri" w:cs="Calibri" w:eastAsia="Calibri" w:hAnsi="Calibri"/>
          <w:color w:val="8A93A3"/>
          <w:sz w:val="20"/>
          <w:szCs w:val="20"/>
        </w:rPr>
        <w:t xml:space="preserve">Prototype login</w:t>
      </w:r>
      <w:r>
        <w:rPr>
          <w:rFonts w:ascii="Calibri" w:cs="Calibri" w:eastAsia="Calibri" w:hAnsi="Calibri"/>
          <w:color w:val="0F1729"/>
          <w:sz w:val="20"/>
          <w:szCs w:val="20"/>
        </w:rPr>
        <w:t xml:space="preserve">	operations / gulftainer2026</w:t>
      </w:r>
    </w:p>
    <w:p>
      <w:pPr>
        <w:tabs>
          <w:tab w:val="left" w:pos="2600"/>
        </w:tabs>
        <w:spacing w:after="70"/>
      </w:pPr>
      <w:r>
        <w:rPr>
          <w:rFonts w:ascii="Calibri" w:cs="Calibri" w:eastAsia="Calibri" w:hAnsi="Calibri"/>
          <w:color w:val="8A93A3"/>
          <w:sz w:val="20"/>
          <w:szCs w:val="20"/>
        </w:rPr>
        <w:t xml:space="preserve">Status</w:t>
      </w:r>
      <w:r>
        <w:rPr>
          <w:rFonts w:ascii="Calibri" w:cs="Calibri" w:eastAsia="Calibri" w:hAnsi="Calibri"/>
          <w:color w:val="0F1729"/>
          <w:sz w:val="20"/>
          <w:szCs w:val="20"/>
        </w:rPr>
        <w:t xml:space="preserve">	Prototype complete; production design proposed</w:t>
      </w:r>
    </w:p>
    <w:p>
      <w:r>
        <w:br w:type="page"/>
      </w:r>
    </w:p>
    <w:p>
      <w:pPr>
        <w:pStyle w:val="Heading1"/>
        <w:keepNext/>
        <w:spacing w:after="120" w:before="280"/>
      </w:pPr>
      <w:bookmarkStart w:name="_Toc1" w:id="1"/>
      <w:r>
        <w:rPr>
          <w:rFonts w:ascii="Calibri" w:cs="Calibri" w:eastAsia="Calibri" w:hAnsi="Calibri"/>
          <w:b/>
          <w:bCs/>
          <w:color w:val="0F1729"/>
          <w:sz w:val="32"/>
          <w:szCs w:val="32"/>
        </w:rPr>
        <w:t xml:space="preserve">Contents</w:t>
      </w:r>
      <w:bookmarkEnd w:id="1"/>
    </w:p>
    <w:sdt>
      <w:sdtPr>
        <w:alias w:val="Contents"/>
        <w:docPartObj>
          <w:docPartGallery w:val="Table of Contents"/>
          <w:docPartUnique/>
        </w:docPartObj>
      </w:sdtPr>
      <w:sdtContent>
        <w:p>
          <w:pPr>
            <w:pStyle w:val="TOC1"/>
            <w:tabs>
              <w:tab w:val="right" w:pos="9638" w:leader="dot"/>
            </w:tabs>
          </w:pPr>
          <w:r>
            <w:fldChar w:fldCharType="begin" w:dirty="true"/>
            <w:instrText xml:space="preserve">TOC \h \o "1-2"</w:instrText>
            <w:fldChar w:fldCharType="separate"/>
          </w:r>
          <w:hyperlink w:history="1" w:anchor="_Toc1">
            <w:r>
              <w:t xml:space="preserve">Contents</w:t>
            </w:r>
            <w:r>
              <w:tab/>
            </w:r>
            <w:r>
              <w:fldChar w:fldCharType="begin" w:dirty="true"/>
              <w:instrText xml:space="preserve">PAGEREF _Toc1 \h</w:instrText>
              <w:fldChar w:fldCharType="separate"/>
              <w:fldChar w:fldCharType="end"/>
            </w:r>
          </w:hyperlink>
        </w:p>
        <w:p>
          <w:pPr>
            <w:pStyle w:val="TOC1"/>
            <w:tabs>
              <w:tab w:val="right" w:pos="9638" w:leader="dot"/>
            </w:tabs>
          </w:pPr>
          <w:hyperlink w:history="1" w:anchor="_Toc2">
            <w:r>
              <w:t xml:space="preserve">1. Executive summary</w:t>
            </w:r>
            <w:r>
              <w:tab/>
            </w:r>
            <w:r>
              <w:fldChar w:fldCharType="begin" w:dirty="true"/>
              <w:instrText xml:space="preserve">PAGEREF _Toc2 \h</w:instrText>
              <w:fldChar w:fldCharType="separate"/>
              <w:fldChar w:fldCharType="end"/>
            </w:r>
          </w:hyperlink>
        </w:p>
        <w:p>
          <w:pPr>
            <w:pStyle w:val="TOC1"/>
            <w:tabs>
              <w:tab w:val="right" w:pos="9638" w:leader="dot"/>
            </w:tabs>
          </w:pPr>
          <w:hyperlink w:history="1" w:anchor="_Toc3">
            <w:r>
              <w:t xml:space="preserve">2. How the work was done</w:t>
            </w:r>
            <w:r>
              <w:tab/>
            </w:r>
            <w:r>
              <w:fldChar w:fldCharType="begin" w:dirty="true"/>
              <w:instrText xml:space="preserve">PAGEREF _Toc3 \h</w:instrText>
              <w:fldChar w:fldCharType="separate"/>
              <w:fldChar w:fldCharType="end"/>
            </w:r>
          </w:hyperlink>
        </w:p>
        <w:p>
          <w:pPr>
            <w:pStyle w:val="TOC2"/>
            <w:tabs>
              <w:tab w:val="right" w:pos="9638" w:leader="dot"/>
            </w:tabs>
          </w:pPr>
          <w:hyperlink w:history="1" w:anchor="_Toc4">
            <w:r>
              <w:t xml:space="preserve">2.1 Sources</w:t>
            </w:r>
            <w:r>
              <w:tab/>
            </w:r>
            <w:r>
              <w:fldChar w:fldCharType="begin" w:dirty="true"/>
              <w:instrText xml:space="preserve">PAGEREF _Toc4 \h</w:instrText>
              <w:fldChar w:fldCharType="separate"/>
              <w:fldChar w:fldCharType="end"/>
            </w:r>
          </w:hyperlink>
        </w:p>
        <w:p>
          <w:pPr>
            <w:pStyle w:val="TOC1"/>
            <w:tabs>
              <w:tab w:val="right" w:pos="9638" w:leader="dot"/>
            </w:tabs>
          </w:pPr>
          <w:hyperlink w:history="1" w:anchor="_Toc5">
            <w:r>
              <w:t xml:space="preserve">3. Gulftainer as the research found it</w:t>
            </w:r>
            <w:r>
              <w:tab/>
            </w:r>
            <w:r>
              <w:fldChar w:fldCharType="begin" w:dirty="true"/>
              <w:instrText xml:space="preserve">PAGEREF _Toc5 \h</w:instrText>
              <w:fldChar w:fldCharType="separate"/>
              <w:fldChar w:fldCharType="end"/>
            </w:r>
          </w:hyperlink>
        </w:p>
        <w:p>
          <w:pPr>
            <w:pStyle w:val="TOC2"/>
            <w:tabs>
              <w:tab w:val="right" w:pos="9638" w:leader="dot"/>
            </w:tabs>
          </w:pPr>
          <w:hyperlink w:history="1" w:anchor="_Toc6">
            <w:r>
              <w:t xml:space="preserve">3.1 The business</w:t>
            </w:r>
            <w:r>
              <w:tab/>
            </w:r>
            <w:r>
              <w:fldChar w:fldCharType="begin" w:dirty="true"/>
              <w:instrText xml:space="preserve">PAGEREF _Toc6 \h</w:instrText>
              <w:fldChar w:fldCharType="separate"/>
              <w:fldChar w:fldCharType="end"/>
            </w:r>
          </w:hyperlink>
        </w:p>
        <w:p>
          <w:pPr>
            <w:pStyle w:val="TOC2"/>
            <w:tabs>
              <w:tab w:val="right" w:pos="9638" w:leader="dot"/>
            </w:tabs>
          </w:pPr>
          <w:hyperlink w:history="1" w:anchor="_Toc7">
            <w:r>
              <w:t xml:space="preserve">3.2 Systems in use</w:t>
            </w:r>
            <w:r>
              <w:tab/>
            </w:r>
            <w:r>
              <w:fldChar w:fldCharType="begin" w:dirty="true"/>
              <w:instrText xml:space="preserve">PAGEREF _Toc7 \h</w:instrText>
              <w:fldChar w:fldCharType="separate"/>
              <w:fldChar w:fldCharType="end"/>
            </w:r>
          </w:hyperlink>
        </w:p>
        <w:p>
          <w:pPr>
            <w:pStyle w:val="TOC2"/>
            <w:tabs>
              <w:tab w:val="right" w:pos="9638" w:leader="dot"/>
            </w:tabs>
          </w:pPr>
          <w:hyperlink w:history="1" w:anchor="_Toc8">
            <w:r>
              <w:t xml:space="preserve">3.3 How a container moves through the terminal today</w:t>
            </w:r>
            <w:r>
              <w:tab/>
            </w:r>
            <w:r>
              <w:fldChar w:fldCharType="begin" w:dirty="true"/>
              <w:instrText xml:space="preserve">PAGEREF _Toc8 \h</w:instrText>
              <w:fldChar w:fldCharType="separate"/>
              <w:fldChar w:fldCharType="end"/>
            </w:r>
          </w:hyperlink>
        </w:p>
        <w:p>
          <w:pPr>
            <w:pStyle w:val="TOC1"/>
            <w:tabs>
              <w:tab w:val="right" w:pos="9638" w:leader="dot"/>
            </w:tabs>
          </w:pPr>
          <w:hyperlink w:history="1" w:anchor="_Toc9">
            <w:r>
              <w:t xml:space="preserve">4. The supplied SRS against Gulftainer’s reality</w:t>
            </w:r>
            <w:r>
              <w:tab/>
            </w:r>
            <w:r>
              <w:fldChar w:fldCharType="begin" w:dirty="true"/>
              <w:instrText xml:space="preserve">PAGEREF _Toc9 \h</w:instrText>
              <w:fldChar w:fldCharType="separate"/>
              <w:fldChar w:fldCharType="end"/>
            </w:r>
          </w:hyperlink>
        </w:p>
        <w:p>
          <w:pPr>
            <w:pStyle w:val="TOC1"/>
            <w:tabs>
              <w:tab w:val="right" w:pos="9638" w:leader="dot"/>
            </w:tabs>
          </w:pPr>
          <w:hyperlink w:history="1" w:anchor="_Toc10">
            <w:r>
              <w:t xml:space="preserve">5. Scope of the prototype</w:t>
            </w:r>
            <w:r>
              <w:tab/>
            </w:r>
            <w:r>
              <w:fldChar w:fldCharType="begin" w:dirty="true"/>
              <w:instrText xml:space="preserve">PAGEREF _Toc10 \h</w:instrText>
              <w:fldChar w:fldCharType="separate"/>
              <w:fldChar w:fldCharType="end"/>
            </w:r>
          </w:hyperlink>
        </w:p>
        <w:p>
          <w:pPr>
            <w:pStyle w:val="TOC2"/>
            <w:tabs>
              <w:tab w:val="right" w:pos="9638" w:leader="dot"/>
            </w:tabs>
          </w:pPr>
          <w:hyperlink w:history="1" w:anchor="_Toc11">
            <w:r>
              <w:t xml:space="preserve">5.1 Demonstration data</w:t>
            </w:r>
            <w:r>
              <w:tab/>
            </w:r>
            <w:r>
              <w:fldChar w:fldCharType="begin" w:dirty="true"/>
              <w:instrText xml:space="preserve">PAGEREF _Toc11 \h</w:instrText>
              <w:fldChar w:fldCharType="separate"/>
              <w:fldChar w:fldCharType="end"/>
            </w:r>
          </w:hyperlink>
        </w:p>
        <w:p>
          <w:pPr>
            <w:pStyle w:val="TOC1"/>
            <w:tabs>
              <w:tab w:val="right" w:pos="9638" w:leader="dot"/>
            </w:tabs>
          </w:pPr>
          <w:hyperlink w:history="1" w:anchor="_Toc12">
            <w:r>
              <w:t xml:space="preserve">6. Domain model and business rules</w:t>
            </w:r>
            <w:r>
              <w:tab/>
            </w:r>
            <w:r>
              <w:fldChar w:fldCharType="begin" w:dirty="true"/>
              <w:instrText xml:space="preserve">PAGEREF _Toc12 \h</w:instrText>
              <w:fldChar w:fldCharType="separate"/>
              <w:fldChar w:fldCharType="end"/>
            </w:r>
          </w:hyperlink>
        </w:p>
        <w:p>
          <w:pPr>
            <w:pStyle w:val="TOC2"/>
            <w:tabs>
              <w:tab w:val="right" w:pos="9638" w:leader="dot"/>
            </w:tabs>
          </w:pPr>
          <w:hyperlink w:history="1" w:anchor="_Toc13">
            <w:r>
              <w:t xml:space="preserve">6.1 Entities</w:t>
            </w:r>
            <w:r>
              <w:tab/>
            </w:r>
            <w:r>
              <w:fldChar w:fldCharType="begin" w:dirty="true"/>
              <w:instrText xml:space="preserve">PAGEREF _Toc13 \h</w:instrText>
              <w:fldChar w:fldCharType="separate"/>
              <w:fldChar w:fldCharType="end"/>
            </w:r>
          </w:hyperlink>
        </w:p>
        <w:p>
          <w:pPr>
            <w:pStyle w:val="TOC2"/>
            <w:tabs>
              <w:tab w:val="right" w:pos="9638" w:leader="dot"/>
            </w:tabs>
          </w:pPr>
          <w:hyperlink w:history="1" w:anchor="_Toc14">
            <w:r>
              <w:t xml:space="preserve">6.2 Rules</w:t>
            </w:r>
            <w:r>
              <w:tab/>
            </w:r>
            <w:r>
              <w:fldChar w:fldCharType="begin" w:dirty="true"/>
              <w:instrText xml:space="preserve">PAGEREF _Toc14 \h</w:instrText>
              <w:fldChar w:fldCharType="separate"/>
              <w:fldChar w:fldCharType="end"/>
            </w:r>
          </w:hyperlink>
        </w:p>
        <w:p>
          <w:pPr>
            <w:pStyle w:val="TOC2"/>
            <w:tabs>
              <w:tab w:val="right" w:pos="9638" w:leader="dot"/>
            </w:tabs>
          </w:pPr>
          <w:hyperlink w:history="1" w:anchor="_Toc15">
            <w:r>
              <w:t xml:space="preserve">6.3 Integrity mechanisms</w:t>
            </w:r>
            <w:r>
              <w:tab/>
            </w:r>
            <w:r>
              <w:fldChar w:fldCharType="begin" w:dirty="true"/>
              <w:instrText xml:space="preserve">PAGEREF _Toc15 \h</w:instrText>
              <w:fldChar w:fldCharType="separate"/>
              <w:fldChar w:fldCharType="end"/>
            </w:r>
          </w:hyperlink>
        </w:p>
        <w:p>
          <w:pPr>
            <w:pStyle w:val="TOC1"/>
            <w:tabs>
              <w:tab w:val="right" w:pos="9638" w:leader="dot"/>
            </w:tabs>
          </w:pPr>
          <w:hyperlink w:history="1" w:anchor="_Toc16">
            <w:r>
              <w:t xml:space="preserve">7. Prototype architecture</w:t>
            </w:r>
            <w:r>
              <w:tab/>
            </w:r>
            <w:r>
              <w:fldChar w:fldCharType="begin" w:dirty="true"/>
              <w:instrText xml:space="preserve">PAGEREF _Toc16 \h</w:instrText>
              <w:fldChar w:fldCharType="separate"/>
              <w:fldChar w:fldCharType="end"/>
            </w:r>
          </w:hyperlink>
        </w:p>
        <w:p>
          <w:pPr>
            <w:pStyle w:val="TOC1"/>
            <w:tabs>
              <w:tab w:val="right" w:pos="9638" w:leader="dot"/>
            </w:tabs>
          </w:pPr>
          <w:hyperlink w:history="1" w:anchor="_Toc17">
            <w:r>
              <w:t xml:space="preserve">8. Production architecture</w:t>
            </w:r>
            <w:r>
              <w:tab/>
            </w:r>
            <w:r>
              <w:fldChar w:fldCharType="begin" w:dirty="true"/>
              <w:instrText xml:space="preserve">PAGEREF _Toc17 \h</w:instrText>
              <w:fldChar w:fldCharType="separate"/>
              <w:fldChar w:fldCharType="end"/>
            </w:r>
          </w:hyperlink>
        </w:p>
        <w:p>
          <w:pPr>
            <w:pStyle w:val="TOC2"/>
            <w:tabs>
              <w:tab w:val="right" w:pos="9638" w:leader="dot"/>
            </w:tabs>
          </w:pPr>
          <w:hyperlink w:history="1" w:anchor="_Toc18">
            <w:r>
              <w:t xml:space="preserve">8.1 Technology stack</w:t>
            </w:r>
            <w:r>
              <w:tab/>
            </w:r>
            <w:r>
              <w:fldChar w:fldCharType="begin" w:dirty="true"/>
              <w:instrText xml:space="preserve">PAGEREF _Toc18 \h</w:instrText>
              <w:fldChar w:fldCharType="separate"/>
              <w:fldChar w:fldCharType="end"/>
            </w:r>
          </w:hyperlink>
        </w:p>
        <w:p>
          <w:pPr>
            <w:pStyle w:val="TOC2"/>
            <w:tabs>
              <w:tab w:val="right" w:pos="9638" w:leader="dot"/>
            </w:tabs>
          </w:pPr>
          <w:hyperlink w:history="1" w:anchor="_Toc19">
            <w:r>
              <w:t xml:space="preserve">8.2 Data placement</w:t>
            </w:r>
            <w:r>
              <w:tab/>
            </w:r>
            <w:r>
              <w:fldChar w:fldCharType="begin" w:dirty="true"/>
              <w:instrText xml:space="preserve">PAGEREF _Toc19 \h</w:instrText>
              <w:fldChar w:fldCharType="separate"/>
              <w:fldChar w:fldCharType="end"/>
            </w:r>
          </w:hyperlink>
        </w:p>
        <w:p>
          <w:pPr>
            <w:pStyle w:val="TOC2"/>
            <w:tabs>
              <w:tab w:val="right" w:pos="9638" w:leader="dot"/>
            </w:tabs>
          </w:pPr>
          <w:hyperlink w:history="1" w:anchor="_Toc20">
            <w:r>
              <w:t xml:space="preserve">8.3 API design</w:t>
            </w:r>
            <w:r>
              <w:tab/>
            </w:r>
            <w:r>
              <w:fldChar w:fldCharType="begin" w:dirty="true"/>
              <w:instrText xml:space="preserve">PAGEREF _Toc20 \h</w:instrText>
              <w:fldChar w:fldCharType="separate"/>
              <w:fldChar w:fldCharType="end"/>
            </w:r>
          </w:hyperlink>
        </w:p>
        <w:p>
          <w:pPr>
            <w:pStyle w:val="TOC2"/>
            <w:tabs>
              <w:tab w:val="right" w:pos="9638" w:leader="dot"/>
            </w:tabs>
          </w:pPr>
          <w:hyperlink w:history="1" w:anchor="_Toc21">
            <w:r>
              <w:t xml:space="preserve">8.4 Capacity and performance</w:t>
            </w:r>
            <w:r>
              <w:tab/>
            </w:r>
            <w:r>
              <w:fldChar w:fldCharType="begin" w:dirty="true"/>
              <w:instrText xml:space="preserve">PAGEREF _Toc21 \h</w:instrText>
              <w:fldChar w:fldCharType="separate"/>
              <w:fldChar w:fldCharType="end"/>
            </w:r>
          </w:hyperlink>
        </w:p>
        <w:p>
          <w:pPr>
            <w:pStyle w:val="TOC1"/>
            <w:tabs>
              <w:tab w:val="right" w:pos="9638" w:leader="dot"/>
            </w:tabs>
          </w:pPr>
          <w:hyperlink w:history="1" w:anchor="_Toc22">
            <w:r>
              <w:t xml:space="preserve">9. Security, compliance and continuity</w:t>
            </w:r>
            <w:r>
              <w:tab/>
            </w:r>
            <w:r>
              <w:fldChar w:fldCharType="begin" w:dirty="true"/>
              <w:instrText xml:space="preserve">PAGEREF _Toc22 \h</w:instrText>
              <w:fldChar w:fldCharType="separate"/>
              <w:fldChar w:fldCharType="end"/>
            </w:r>
          </w:hyperlink>
        </w:p>
        <w:p>
          <w:pPr>
            <w:pStyle w:val="TOC1"/>
            <w:tabs>
              <w:tab w:val="right" w:pos="9638" w:leader="dot"/>
            </w:tabs>
          </w:pPr>
          <w:hyperlink w:history="1" w:anchor="_Toc23">
            <w:r>
              <w:t xml:space="preserve">10. Delivery plan to production</w:t>
            </w:r>
            <w:r>
              <w:tab/>
            </w:r>
            <w:r>
              <w:fldChar w:fldCharType="begin" w:dirty="true"/>
              <w:instrText xml:space="preserve">PAGEREF _Toc23 \h</w:instrText>
              <w:fldChar w:fldCharType="separate"/>
              <w:fldChar w:fldCharType="end"/>
            </w:r>
          </w:hyperlink>
        </w:p>
        <w:p>
          <w:pPr>
            <w:pStyle w:val="TOC2"/>
            <w:tabs>
              <w:tab w:val="right" w:pos="9638" w:leader="dot"/>
            </w:tabs>
          </w:pPr>
          <w:hyperlink w:history="1" w:anchor="_Toc24">
            <w:r>
              <w:t xml:space="preserve">10.1 Testing strategy</w:t>
            </w:r>
            <w:r>
              <w:tab/>
            </w:r>
            <w:r>
              <w:fldChar w:fldCharType="begin" w:dirty="true"/>
              <w:instrText xml:space="preserve">PAGEREF _Toc24 \h</w:instrText>
              <w:fldChar w:fldCharType="separate"/>
              <w:fldChar w:fldCharType="end"/>
            </w:r>
          </w:hyperlink>
        </w:p>
        <w:p>
          <w:pPr>
            <w:pStyle w:val="TOC2"/>
            <w:tabs>
              <w:tab w:val="right" w:pos="9638" w:leader="dot"/>
            </w:tabs>
          </w:pPr>
          <w:hyperlink w:history="1" w:anchor="_Toc25">
            <w:r>
              <w:t xml:space="preserve">10.2 Risks and how the design treats them</w:t>
            </w:r>
            <w:r>
              <w:tab/>
            </w:r>
            <w:r>
              <w:fldChar w:fldCharType="begin" w:dirty="true"/>
              <w:instrText xml:space="preserve">PAGEREF _Toc25 \h</w:instrText>
              <w:fldChar w:fldCharType="separate"/>
              <w:fldChar w:fldCharType="end"/>
            </w:r>
          </w:hyperlink>
        </w:p>
        <w:p>
          <w:pPr>
            <w:pStyle w:val="TOC1"/>
            <w:tabs>
              <w:tab w:val="right" w:pos="9638" w:leader="dot"/>
            </w:tabs>
          </w:pPr>
          <w:hyperlink w:history="1" w:anchor="_Toc26">
            <w:r>
              <w:t xml:space="preserve">11. Appendices</w:t>
            </w:r>
            <w:r>
              <w:tab/>
            </w:r>
            <w:r>
              <w:fldChar w:fldCharType="begin" w:dirty="true"/>
              <w:instrText xml:space="preserve">PAGEREF _Toc26 \h</w:instrText>
              <w:fldChar w:fldCharType="separate"/>
              <w:fldChar w:fldCharType="end"/>
            </w:r>
          </w:hyperlink>
        </w:p>
        <w:p>
          <w:pPr>
            <w:pStyle w:val="TOC2"/>
            <w:tabs>
              <w:tab w:val="right" w:pos="9638" w:leader="dot"/>
            </w:tabs>
          </w:pPr>
          <w:hyperlink w:history="1" w:anchor="_Toc27">
            <w:r>
              <w:t xml:space="preserve">A. Repository layout</w:t>
            </w:r>
            <w:r>
              <w:tab/>
            </w:r>
            <w:r>
              <w:fldChar w:fldCharType="begin" w:dirty="true"/>
              <w:instrText xml:space="preserve">PAGEREF _Toc27 \h</w:instrText>
              <w:fldChar w:fldCharType="separate"/>
              <w:fldChar w:fldCharType="end"/>
            </w:r>
          </w:hyperlink>
        </w:p>
        <w:p>
          <w:pPr>
            <w:pStyle w:val="TOC2"/>
            <w:tabs>
              <w:tab w:val="right" w:pos="9638" w:leader="dot"/>
            </w:tabs>
          </w:pPr>
          <w:hyperlink w:history="1" w:anchor="_Toc28">
            <w:r>
              <w:t xml:space="preserve">B. Running the prototype</w:t>
            </w:r>
            <w:r>
              <w:tab/>
            </w:r>
            <w:r>
              <w:fldChar w:fldCharType="begin" w:dirty="true"/>
              <w:instrText xml:space="preserve">PAGEREF _Toc28 \h</w:instrText>
              <w:fldChar w:fldCharType="separate"/>
              <w:fldChar w:fldCharType="end"/>
            </w:r>
          </w:hyperlink>
        </w:p>
        <w:p>
          <w:pPr>
            <w:pStyle w:val="TOC2"/>
            <w:tabs>
              <w:tab w:val="right" w:pos="9638" w:leader="dot"/>
            </w:tabs>
          </w:pPr>
          <w:hyperlink w:history="1" w:anchor="_Toc29">
            <w:r>
              <w:t xml:space="preserve">C. Acceptance criteria of the SRS and where the prototype shows them</w:t>
            </w:r>
            <w:r>
              <w:tab/>
            </w:r>
            <w:r>
              <w:fldChar w:fldCharType="begin" w:dirty="true"/>
              <w:instrText xml:space="preserve">PAGEREF _Toc29 \h</w:instrText>
              <w:fldChar w:fldCharType="separate"/>
              <w:fldChar w:fldCharType="end"/>
            </w:r>
          </w:hyperlink>
        </w:p>
        <w:p>
          <w:r>
            <w:fldChar w:fldCharType="end"/>
          </w:r>
        </w:p>
      </w:sdtContent>
    </w:sdt>
    <w:p>
      <w:r>
        <w:br w:type="page"/>
      </w:r>
    </w:p>
    <w:p>
      <w:pPr>
        <w:pStyle w:val="Heading1"/>
        <w:keepNext/>
        <w:spacing w:after="120" w:before="280"/>
      </w:pPr>
      <w:bookmarkStart w:name="_Toc2" w:id="2"/>
      <w:r>
        <w:rPr>
          <w:rFonts w:ascii="Calibri" w:cs="Calibri" w:eastAsia="Calibri" w:hAnsi="Calibri"/>
          <w:b/>
          <w:bCs/>
          <w:color w:val="0F1729"/>
          <w:sz w:val="32"/>
          <w:szCs w:val="32"/>
        </w:rPr>
        <w:t xml:space="preserve">1. Executive summary</w:t>
      </w:r>
      <w:bookmarkEnd w:id="2"/>
    </w:p>
    <w:p>
      <w:pPr>
        <w:spacing w:after="100" w:before="0" w:line="264"/>
      </w:pPr>
      <w:r>
        <w:rPr>
          <w:rFonts w:ascii="Calibri" w:cs="Calibri" w:eastAsia="Calibri" w:hAnsi="Calibri"/>
          <w:color w:val="0F1729"/>
          <w:sz w:val="21"/>
          <w:szCs w:val="21"/>
        </w:rPr>
        <w:t xml:space="preserve">This document records the work I carried out between 1 and 30 October 2026 to design and build a working prototype of an operations platform for Gulftainer, and sets out how the same design would be built for production. The brief I received was a generic software requirements specification for an international cargo and inventory platform. Rather than build to that specification as written, I researched how Gulftainer actually operates: its terminals and inland network, its published tariff and customer advisories, its existing systems and the processes its customers follow every day. The prototype is shaped by that research.</w:t>
      </w:r>
    </w:p>
    <w:p>
      <w:pPr>
        <w:spacing w:after="100" w:before="0" w:line="264"/>
      </w:pPr>
      <w:r>
        <w:rPr>
          <w:rFonts w:ascii="Calibri" w:cs="Calibri" w:eastAsia="Calibri" w:hAnsi="Calibri"/>
          <w:color w:val="0F1729"/>
          <w:sz w:val="21"/>
          <w:szCs w:val="21"/>
        </w:rPr>
        <w:t xml:space="preserve">The result is a browser-based prototype with twenty-four working screens across six modules (terminal, gate and e-tokens, inland logistics, warehousing, finance and control) plus a customer e-services portal. It enforces the business rules that matter in a terminal: a container is released only when customs, the delivery order and the charges are complete; export boxes are received only inside the vessel’s gate window; stock balances are never edited, only moved through an immutable ledger; retried requests cannot act twice; offline gate work replays through the same rules; inbound messages are de-duplicated. Every action is audited with who, where, what changed and why.</w:t>
      </w:r>
    </w:p>
    <w:p>
      <w:pPr>
        <w:spacing w:after="100" w:before="0" w:line="264"/>
      </w:pPr>
      <w:r>
        <w:rPr>
          <w:rFonts w:ascii="Calibri" w:cs="Calibri" w:eastAsia="Calibri" w:hAnsi="Calibri"/>
          <w:color w:val="0F1729"/>
          <w:sz w:val="21"/>
          <w:szCs w:val="21"/>
        </w:rPr>
        <w:t xml:space="preserve">For production I propose a serverless architecture on AWS: the front end on CloudFront, the APIs on Lambda behind API Gateway with identity federated from Gulftainer’s Microsoft Entra ID, Aurora PostgreSQL as the system of record, DynamoDB for high-rate gate and e-token state, S3 for documents and MongoDB Atlas for histories and feeds. Section 8 describes it; section 9 covers security and continuity in the terms Gulftainer’s IT infrastructure team already uses (ISO 27001, Conditional Access, PAM, Intune, Veeam-style restore drills, Zabbix and Grafana).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DE2E7" w:sz="4"/>
              <w:left w:val="single" w:color="DDE2E7" w:sz="4"/>
              <w:bottom w:val="single" w:color="DDE2E7" w:sz="4"/>
              <w:right w:val="single" w:color="DDE2E7" w:sz="4"/>
            </w:tcBorders>
            <w:shd w:fill="F4F6F8" w:color="auto" w:val="clear"/>
            <w:tcMar>
              <w:top w:type="dxa" w:w="100"/>
              <w:left w:type="dxa" w:w="140"/>
              <w:bottom w:type="dxa" w:w="100"/>
              <w:right w:type="dxa" w:w="140"/>
            </w:tcMar>
          </w:tcPr>
          <w:p>
            <w:pPr>
              <w:spacing w:after="60"/>
            </w:pPr>
            <w:r>
              <w:rPr>
                <w:rFonts w:ascii="Calibri" w:cs="Calibri" w:eastAsia="Calibri" w:hAnsi="Calibri"/>
                <w:b/>
                <w:bCs/>
                <w:color w:val="283F8F"/>
                <w:sz w:val="20"/>
                <w:szCs w:val="20"/>
              </w:rPr>
              <w:t xml:space="preserve">Links and access</w:t>
            </w:r>
          </w:p>
          <w:p>
            <w:pPr>
              <w:spacing w:after="40" w:line="252"/>
            </w:pPr>
            <w:r>
              <w:rPr>
                <w:rFonts w:ascii="Calibri" w:cs="Calibri" w:eastAsia="Calibri" w:hAnsi="Calibri"/>
                <w:b/>
                <w:bCs/>
                <w:color w:val="0F1729"/>
                <w:sz w:val="21"/>
                <w:szCs w:val="21"/>
              </w:rPr>
              <w:t xml:space="preserve">Source code: </w:t>
            </w:r>
            <w:r>
              <w:rPr>
                <w:rFonts w:ascii="Calibri" w:cs="Calibri" w:eastAsia="Calibri" w:hAnsi="Calibri"/>
                <w:color w:val="0F1729"/>
                <w:sz w:val="21"/>
                <w:szCs w:val="21"/>
              </w:rPr>
              <w:t xml:space="preserve">https://github.com/puneet2343/gulftainer-operations-platform</w:t>
            </w:r>
          </w:p>
          <w:p>
            <w:pPr>
              <w:spacing w:after="40" w:line="252"/>
            </w:pPr>
            <w:r>
              <w:rPr>
                <w:rFonts w:ascii="Calibri" w:cs="Calibri" w:eastAsia="Calibri" w:hAnsi="Calibri"/>
                <w:b/>
                <w:bCs/>
                <w:color w:val="0F1729"/>
                <w:sz w:val="21"/>
                <w:szCs w:val="21"/>
              </w:rPr>
              <w:t xml:space="preserve">Live prototype: </w:t>
            </w:r>
            <w:r>
              <w:rPr>
                <w:rFonts w:ascii="Calibri" w:cs="Calibri" w:eastAsia="Calibri" w:hAnsi="Calibri"/>
                <w:color w:val="0F1729"/>
                <w:sz w:val="21"/>
                <w:szCs w:val="21"/>
              </w:rPr>
              <w:t xml:space="preserve">Vercel deployment link to be added after deployment</w:t>
            </w:r>
          </w:p>
          <w:p>
            <w:pPr>
              <w:spacing w:after="40" w:line="252"/>
            </w:pPr>
            <w:r>
              <w:rPr>
                <w:rFonts w:ascii="Calibri" w:cs="Calibri" w:eastAsia="Calibri" w:hAnsi="Calibri"/>
                <w:b/>
                <w:bCs/>
                <w:color w:val="0F1729"/>
                <w:sz w:val="21"/>
                <w:szCs w:val="21"/>
              </w:rPr>
              <w:t xml:space="preserve">Login: </w:t>
            </w:r>
            <w:r>
              <w:rPr>
                <w:rFonts w:ascii="Calibri" w:cs="Calibri" w:eastAsia="Calibri" w:hAnsi="Calibri"/>
                <w:color w:val="0F1729"/>
                <w:sz w:val="21"/>
                <w:szCs w:val="21"/>
              </w:rPr>
              <w:t xml:space="preserve">operations / gulftainer2026 (prefilled on the sign-in screen)</w:t>
            </w:r>
          </w:p>
          <w:p>
            <w:pPr>
              <w:spacing w:after="40" w:line="252"/>
            </w:pPr>
            <w:r>
              <w:rPr>
                <w:rFonts w:ascii="Calibri" w:cs="Calibri" w:eastAsia="Calibri" w:hAnsi="Calibri"/>
                <w:b/>
                <w:bCs/>
                <w:color w:val="0F1729"/>
                <w:sz w:val="21"/>
                <w:szCs w:val="21"/>
              </w:rPr>
              <w:t xml:space="preserve">User guide: </w:t>
            </w:r>
            <w:r>
              <w:rPr>
                <w:rFonts w:ascii="Calibri" w:cs="Calibri" w:eastAsia="Calibri" w:hAnsi="Calibri"/>
                <w:color w:val="0F1729"/>
                <w:sz w:val="21"/>
                <w:szCs w:val="21"/>
              </w:rPr>
              <w:t xml:space="preserve">Gulftainer-Operations-Platform-User-Guide.docx, delivered with this document</w:t>
            </w:r>
          </w:p>
        </w:tc>
      </w:tr>
    </w:tbl>
    <w:p>
      <w:pPr>
        <w:pStyle w:val="Heading1"/>
        <w:keepNext/>
        <w:spacing w:after="120" w:before="280"/>
      </w:pPr>
      <w:bookmarkStart w:name="_Toc3" w:id="3"/>
      <w:r>
        <w:rPr>
          <w:rFonts w:ascii="Calibri" w:cs="Calibri" w:eastAsia="Calibri" w:hAnsi="Calibri"/>
          <w:b/>
          <w:bCs/>
          <w:color w:val="0F1729"/>
          <w:sz w:val="32"/>
          <w:szCs w:val="32"/>
        </w:rPr>
        <w:t xml:space="preserve">2. How the work was done</w:t>
      </w:r>
      <w:bookmarkEnd w:id="3"/>
    </w:p>
    <w:p>
      <w:pPr>
        <w:spacing w:after="100" w:before="0" w:line="264"/>
      </w:pPr>
      <w:r>
        <w:rPr>
          <w:rFonts w:ascii="Calibri" w:cs="Calibri" w:eastAsia="Calibri" w:hAnsi="Calibri"/>
          <w:color w:val="0F1729"/>
          <w:sz w:val="21"/>
          <w:szCs w:val="21"/>
        </w:rPr>
        <w:t xml:space="preserve">The month divided into four phases. Each produced something I could check against the previous one, so the final design does not rest on assumptions I made in week one.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35"/>
        <w:gridCol w:w="1928"/>
        <w:gridCol w:w="5976"/>
      </w:tblGrid>
      <w:tr>
        <w:trPr>
          <w:cantSplit/>
          <w:tblHeader/>
        </w:trPr>
        <w:tc>
          <w:tcPr>
            <w:tcW w:type="dxa" w:w="1735"/>
            <w:tcBorders>
              <w:top w:val="single" w:color="DDE2E7" w:sz="4"/>
              <w:left w:val="single" w:color="DDE2E7" w:sz="4"/>
              <w:bottom w:val="single" w:color="DDE2E7" w:sz="4"/>
              <w:right w:val="single" w:color="DDE2E7" w:sz="4"/>
            </w:tcBorders>
            <w:shd w:fill="F4F6F8" w:color="auto" w:val="clear"/>
            <w:tcMar>
              <w:top w:type="dxa" w:w="60"/>
              <w:left w:type="dxa" w:w="90"/>
              <w:bottom w:type="dxa" w:w="60"/>
              <w:right w:type="dxa" w:w="90"/>
            </w:tcMar>
            <w:vAlign w:val="top"/>
          </w:tcPr>
          <w:p>
            <w:pPr>
              <w:spacing w:after="0" w:line="252"/>
            </w:pPr>
            <w:r>
              <w:rPr>
                <w:rFonts w:ascii="Calibri" w:cs="Calibri" w:eastAsia="Calibri" w:hAnsi="Calibri"/>
                <w:b/>
                <w:bCs/>
                <w:color w:val="5B6576"/>
                <w:sz w:val="19"/>
                <w:szCs w:val="19"/>
              </w:rPr>
              <w:t xml:space="preserve">Dates (2026)</w:t>
            </w:r>
          </w:p>
        </w:tc>
        <w:tc>
          <w:tcPr>
            <w:tcW w:type="dxa" w:w="1928"/>
            <w:tcBorders>
              <w:top w:val="single" w:color="DDE2E7" w:sz="4"/>
              <w:left w:val="single" w:color="DDE2E7" w:sz="4"/>
              <w:bottom w:val="single" w:color="DDE2E7" w:sz="4"/>
              <w:right w:val="single" w:color="DDE2E7" w:sz="4"/>
            </w:tcBorders>
            <w:shd w:fill="F4F6F8" w:color="auto" w:val="clear"/>
            <w:tcMar>
              <w:top w:type="dxa" w:w="60"/>
              <w:left w:type="dxa" w:w="90"/>
              <w:bottom w:type="dxa" w:w="60"/>
              <w:right w:type="dxa" w:w="90"/>
            </w:tcMar>
            <w:vAlign w:val="top"/>
          </w:tcPr>
          <w:p>
            <w:pPr>
              <w:spacing w:after="0" w:line="252"/>
            </w:pPr>
            <w:r>
              <w:rPr>
                <w:rFonts w:ascii="Calibri" w:cs="Calibri" w:eastAsia="Calibri" w:hAnsi="Calibri"/>
                <w:b/>
                <w:bCs/>
                <w:color w:val="5B6576"/>
                <w:sz w:val="19"/>
                <w:szCs w:val="19"/>
              </w:rPr>
              <w:t xml:space="preserve">Phase</w:t>
            </w:r>
          </w:p>
        </w:tc>
        <w:tc>
          <w:tcPr>
            <w:tcW w:type="dxa" w:w="5976"/>
            <w:tcBorders>
              <w:top w:val="single" w:color="DDE2E7" w:sz="4"/>
              <w:left w:val="single" w:color="DDE2E7" w:sz="4"/>
              <w:bottom w:val="single" w:color="DDE2E7" w:sz="4"/>
              <w:right w:val="single" w:color="DDE2E7" w:sz="4"/>
            </w:tcBorders>
            <w:shd w:fill="F4F6F8" w:color="auto" w:val="clear"/>
            <w:tcMar>
              <w:top w:type="dxa" w:w="60"/>
              <w:left w:type="dxa" w:w="90"/>
              <w:bottom w:type="dxa" w:w="60"/>
              <w:right w:type="dxa" w:w="90"/>
            </w:tcMar>
            <w:vAlign w:val="top"/>
          </w:tcPr>
          <w:p>
            <w:pPr>
              <w:spacing w:after="0" w:line="252"/>
            </w:pPr>
            <w:r>
              <w:rPr>
                <w:rFonts w:ascii="Calibri" w:cs="Calibri" w:eastAsia="Calibri" w:hAnsi="Calibri"/>
                <w:b/>
                <w:bCs/>
                <w:color w:val="5B6576"/>
                <w:sz w:val="19"/>
                <w:szCs w:val="19"/>
              </w:rPr>
              <w:t xml:space="preserve">Output</w:t>
            </w:r>
          </w:p>
        </w:tc>
      </w:tr>
      <w:tr>
        <w:trPr>
          <w:cantSplit/>
          <w:tblHeader w:val="off"/>
        </w:trPr>
        <w:tc>
          <w:tcPr>
            <w:tcW w:type="dxa" w:w="1735"/>
            <w:tcBorders>
              <w:top w:val="single" w:color="DDE2E7" w:sz="4"/>
              <w:left w:val="single" w:color="DDE2E7" w:sz="4"/>
              <w:bottom w:val="single" w:color="DDE2E7" w:sz="4"/>
              <w:right w:val="single" w:color="DDE2E7" w:sz="4"/>
            </w:tcBorders>
            <w:tcMar>
              <w:top w:type="dxa" w:w="60"/>
              <w:left w:type="dxa" w:w="90"/>
              <w:bottom w:type="dxa" w:w="60"/>
              <w:right w:type="dxa" w:w="90"/>
            </w:tcMar>
            <w:vAlign w:val="top"/>
          </w:tcPr>
          <w:p>
            <w:pPr>
              <w:spacing w:after="0" w:line="252"/>
            </w:pPr>
            <w:r>
              <w:rPr>
                <w:rFonts w:ascii="Calibri" w:cs="Calibri" w:eastAsia="Calibri" w:hAnsi="Calibri"/>
                <w:b w:val="false"/>
                <w:bCs w:val="false"/>
                <w:color w:val="0F1729"/>
                <w:sz w:val="19"/>
                <w:szCs w:val="19"/>
              </w:rPr>
              <w:t xml:space="preserve">1 to 7 October</w:t>
            </w:r>
          </w:p>
        </w:tc>
        <w:tc>
          <w:tcPr>
            <w:tcW w:type="dxa" w:w="1928"/>
            <w:tcBorders>
              <w:top w:val="single" w:color="DDE2E7" w:sz="4"/>
              <w:left w:val="single" w:color="DDE2E7" w:sz="4"/>
              <w:bottom w:val="single" w:color="DDE2E7" w:sz="4"/>
              <w:right w:val="single" w:color="DDE2E7" w:sz="4"/>
            </w:tcBorders>
            <w:tcMar>
              <w:top w:type="dxa" w:w="60"/>
              <w:left w:type="dxa" w:w="90"/>
              <w:bottom w:type="dxa" w:w="60"/>
              <w:right w:type="dxa" w:w="90"/>
            </w:tcMar>
            <w:vAlign w:val="top"/>
          </w:tcPr>
          <w:p>
            <w:pPr>
              <w:spacing w:after="0" w:line="252"/>
            </w:pPr>
            <w:r>
              <w:rPr>
                <w:rFonts w:ascii="Calibri" w:cs="Calibri" w:eastAsia="Calibri" w:hAnsi="Calibri"/>
                <w:b w:val="false"/>
                <w:bCs w:val="false"/>
                <w:color w:val="0F1729"/>
                <w:sz w:val="19"/>
                <w:szCs w:val="19"/>
              </w:rPr>
              <w:t xml:space="preserve">Research</w:t>
            </w:r>
          </w:p>
        </w:tc>
        <w:tc>
          <w:tcPr>
            <w:tcW w:type="dxa" w:w="5976"/>
            <w:tcBorders>
              <w:top w:val="single" w:color="DDE2E7" w:sz="4"/>
              <w:left w:val="single" w:color="DDE2E7" w:sz="4"/>
              <w:bottom w:val="single" w:color="DDE2E7" w:sz="4"/>
              <w:right w:val="single" w:color="DDE2E7" w:sz="4"/>
            </w:tcBorders>
            <w:tcMar>
              <w:top w:type="dxa" w:w="60"/>
              <w:left w:type="dxa" w:w="90"/>
              <w:bottom w:type="dxa" w:w="60"/>
              <w:right w:type="dxa" w:w="90"/>
            </w:tcMar>
            <w:vAlign w:val="top"/>
          </w:tcPr>
          <w:p>
            <w:pPr>
              <w:spacing w:after="0" w:line="252"/>
            </w:pPr>
            <w:r>
              <w:rPr>
                <w:rFonts w:ascii="Calibri" w:cs="Calibri" w:eastAsia="Calibri" w:hAnsi="Calibri"/>
                <w:b w:val="false"/>
                <w:bCs w:val="false"/>
                <w:color w:val="0F1729"/>
                <w:sz w:val="19"/>
                <w:szCs w:val="19"/>
              </w:rPr>
              <w:t xml:space="preserve">Gulftainer’s network, services, systems and customer processes from its own publications; comparison with the supplied SRS; decision on scope.</w:t>
            </w:r>
          </w:p>
        </w:tc>
      </w:tr>
      <w:tr>
        <w:trPr>
          <w:cantSplit/>
          <w:tblHeader w:val="off"/>
        </w:trPr>
        <w:tc>
          <w:tcPr>
            <w:tcW w:type="dxa" w:w="1735"/>
            <w:tcBorders>
              <w:top w:val="single" w:color="DDE2E7" w:sz="4"/>
              <w:left w:val="single" w:color="DDE2E7" w:sz="4"/>
              <w:bottom w:val="single" w:color="DDE2E7" w:sz="4"/>
              <w:right w:val="single" w:color="DDE2E7" w:sz="4"/>
            </w:tcBorders>
            <w:tcMar>
              <w:top w:type="dxa" w:w="60"/>
              <w:left w:type="dxa" w:w="90"/>
              <w:bottom w:type="dxa" w:w="60"/>
              <w:right w:type="dxa" w:w="90"/>
            </w:tcMar>
            <w:vAlign w:val="top"/>
          </w:tcPr>
          <w:p>
            <w:pPr>
              <w:spacing w:after="0" w:line="252"/>
            </w:pPr>
            <w:r>
              <w:rPr>
                <w:rFonts w:ascii="Calibri" w:cs="Calibri" w:eastAsia="Calibri" w:hAnsi="Calibri"/>
                <w:b w:val="false"/>
                <w:bCs w:val="false"/>
                <w:color w:val="0F1729"/>
                <w:sz w:val="19"/>
                <w:szCs w:val="19"/>
              </w:rPr>
              <w:t xml:space="preserve">8 to 14 October</w:t>
            </w:r>
          </w:p>
        </w:tc>
        <w:tc>
          <w:tcPr>
            <w:tcW w:type="dxa" w:w="1928"/>
            <w:tcBorders>
              <w:top w:val="single" w:color="DDE2E7" w:sz="4"/>
              <w:left w:val="single" w:color="DDE2E7" w:sz="4"/>
              <w:bottom w:val="single" w:color="DDE2E7" w:sz="4"/>
              <w:right w:val="single" w:color="DDE2E7" w:sz="4"/>
            </w:tcBorders>
            <w:tcMar>
              <w:top w:type="dxa" w:w="60"/>
              <w:left w:type="dxa" w:w="90"/>
              <w:bottom w:type="dxa" w:w="60"/>
              <w:right w:type="dxa" w:w="90"/>
            </w:tcMar>
            <w:vAlign w:val="top"/>
          </w:tcPr>
          <w:p>
            <w:pPr>
              <w:spacing w:after="0" w:line="252"/>
            </w:pPr>
            <w:r>
              <w:rPr>
                <w:rFonts w:ascii="Calibri" w:cs="Calibri" w:eastAsia="Calibri" w:hAnsi="Calibri"/>
                <w:b w:val="false"/>
                <w:bCs w:val="false"/>
                <w:color w:val="0F1729"/>
                <w:sz w:val="19"/>
                <w:szCs w:val="19"/>
              </w:rPr>
              <w:t xml:space="preserve">Domain model and rules</w:t>
            </w:r>
          </w:p>
        </w:tc>
        <w:tc>
          <w:tcPr>
            <w:tcW w:type="dxa" w:w="5976"/>
            <w:tcBorders>
              <w:top w:val="single" w:color="DDE2E7" w:sz="4"/>
              <w:left w:val="single" w:color="DDE2E7" w:sz="4"/>
              <w:bottom w:val="single" w:color="DDE2E7" w:sz="4"/>
              <w:right w:val="single" w:color="DDE2E7" w:sz="4"/>
            </w:tcBorders>
            <w:tcMar>
              <w:top w:type="dxa" w:w="60"/>
              <w:left w:type="dxa" w:w="90"/>
              <w:bottom w:type="dxa" w:w="60"/>
              <w:right w:type="dxa" w:w="90"/>
            </w:tcMar>
            <w:vAlign w:val="top"/>
          </w:tcPr>
          <w:p>
            <w:pPr>
              <w:spacing w:after="0" w:line="252"/>
            </w:pPr>
            <w:r>
              <w:rPr>
                <w:rFonts w:ascii="Calibri" w:cs="Calibri" w:eastAsia="Calibri" w:hAnsi="Calibri"/>
                <w:b w:val="false"/>
                <w:bCs w:val="false"/>
                <w:color w:val="0F1729"/>
                <w:sz w:val="19"/>
                <w:szCs w:val="19"/>
              </w:rPr>
              <w:t xml:space="preserve">Entity model, state machines, tariff engine, release conditions, ledger design; written as the service layer with a replayable seed to prove the rules reconcile.</w:t>
            </w:r>
          </w:p>
        </w:tc>
      </w:tr>
      <w:tr>
        <w:trPr>
          <w:cantSplit/>
          <w:tblHeader w:val="off"/>
        </w:trPr>
        <w:tc>
          <w:tcPr>
            <w:tcW w:type="dxa" w:w="1735"/>
            <w:tcBorders>
              <w:top w:val="single" w:color="DDE2E7" w:sz="4"/>
              <w:left w:val="single" w:color="DDE2E7" w:sz="4"/>
              <w:bottom w:val="single" w:color="DDE2E7" w:sz="4"/>
              <w:right w:val="single" w:color="DDE2E7" w:sz="4"/>
            </w:tcBorders>
            <w:tcMar>
              <w:top w:type="dxa" w:w="60"/>
              <w:left w:type="dxa" w:w="90"/>
              <w:bottom w:type="dxa" w:w="60"/>
              <w:right w:type="dxa" w:w="90"/>
            </w:tcMar>
            <w:vAlign w:val="top"/>
          </w:tcPr>
          <w:p>
            <w:pPr>
              <w:spacing w:after="0" w:line="252"/>
            </w:pPr>
            <w:r>
              <w:rPr>
                <w:rFonts w:ascii="Calibri" w:cs="Calibri" w:eastAsia="Calibri" w:hAnsi="Calibri"/>
                <w:b w:val="false"/>
                <w:bCs w:val="false"/>
                <w:color w:val="0F1729"/>
                <w:sz w:val="19"/>
                <w:szCs w:val="19"/>
              </w:rPr>
              <w:t xml:space="preserve">15 to 24 October</w:t>
            </w:r>
          </w:p>
        </w:tc>
        <w:tc>
          <w:tcPr>
            <w:tcW w:type="dxa" w:w="1928"/>
            <w:tcBorders>
              <w:top w:val="single" w:color="DDE2E7" w:sz="4"/>
              <w:left w:val="single" w:color="DDE2E7" w:sz="4"/>
              <w:bottom w:val="single" w:color="DDE2E7" w:sz="4"/>
              <w:right w:val="single" w:color="DDE2E7" w:sz="4"/>
            </w:tcBorders>
            <w:tcMar>
              <w:top w:type="dxa" w:w="60"/>
              <w:left w:type="dxa" w:w="90"/>
              <w:bottom w:type="dxa" w:w="60"/>
              <w:right w:type="dxa" w:w="90"/>
            </w:tcMar>
            <w:vAlign w:val="top"/>
          </w:tcPr>
          <w:p>
            <w:pPr>
              <w:spacing w:after="0" w:line="252"/>
            </w:pPr>
            <w:r>
              <w:rPr>
                <w:rFonts w:ascii="Calibri" w:cs="Calibri" w:eastAsia="Calibri" w:hAnsi="Calibri"/>
                <w:b w:val="false"/>
                <w:bCs w:val="false"/>
                <w:color w:val="0F1729"/>
                <w:sz w:val="19"/>
                <w:szCs w:val="19"/>
              </w:rPr>
              <w:t xml:space="preserve">Prototype build</w:t>
            </w:r>
          </w:p>
        </w:tc>
        <w:tc>
          <w:tcPr>
            <w:tcW w:type="dxa" w:w="5976"/>
            <w:tcBorders>
              <w:top w:val="single" w:color="DDE2E7" w:sz="4"/>
              <w:left w:val="single" w:color="DDE2E7" w:sz="4"/>
              <w:bottom w:val="single" w:color="DDE2E7" w:sz="4"/>
              <w:right w:val="single" w:color="DDE2E7" w:sz="4"/>
            </w:tcBorders>
            <w:tcMar>
              <w:top w:type="dxa" w:w="60"/>
              <w:left w:type="dxa" w:w="90"/>
              <w:bottom w:type="dxa" w:w="60"/>
              <w:right w:type="dxa" w:w="90"/>
            </w:tcMar>
            <w:vAlign w:val="top"/>
          </w:tcPr>
          <w:p>
            <w:pPr>
              <w:spacing w:after="0" w:line="252"/>
            </w:pPr>
            <w:r>
              <w:rPr>
                <w:rFonts w:ascii="Calibri" w:cs="Calibri" w:eastAsia="Calibri" w:hAnsi="Calibri"/>
                <w:b w:val="false"/>
                <w:bCs w:val="false"/>
                <w:color w:val="0F1729"/>
                <w:sz w:val="19"/>
                <w:szCs w:val="19"/>
              </w:rPr>
              <w:t xml:space="preserve">Twenty-four admin screens, the customer portal, offline queue, integrations simulator, reports; design system kept identical to the SSI Events frontend.</w:t>
            </w:r>
          </w:p>
        </w:tc>
      </w:tr>
      <w:tr>
        <w:trPr>
          <w:cantSplit/>
          <w:tblHeader w:val="off"/>
        </w:trPr>
        <w:tc>
          <w:tcPr>
            <w:tcW w:type="dxa" w:w="1735"/>
            <w:tcBorders>
              <w:top w:val="single" w:color="DDE2E7" w:sz="4"/>
              <w:left w:val="single" w:color="DDE2E7" w:sz="4"/>
              <w:bottom w:val="single" w:color="DDE2E7" w:sz="4"/>
              <w:right w:val="single" w:color="DDE2E7" w:sz="4"/>
            </w:tcBorders>
            <w:tcMar>
              <w:top w:type="dxa" w:w="60"/>
              <w:left w:type="dxa" w:w="90"/>
              <w:bottom w:type="dxa" w:w="60"/>
              <w:right w:type="dxa" w:w="90"/>
            </w:tcMar>
            <w:vAlign w:val="top"/>
          </w:tcPr>
          <w:p>
            <w:pPr>
              <w:spacing w:after="0" w:line="252"/>
            </w:pPr>
            <w:r>
              <w:rPr>
                <w:rFonts w:ascii="Calibri" w:cs="Calibri" w:eastAsia="Calibri" w:hAnsi="Calibri"/>
                <w:b w:val="false"/>
                <w:bCs w:val="false"/>
                <w:color w:val="0F1729"/>
                <w:sz w:val="19"/>
                <w:szCs w:val="19"/>
              </w:rPr>
              <w:t xml:space="preserve">25 to 30 October</w:t>
            </w:r>
          </w:p>
        </w:tc>
        <w:tc>
          <w:tcPr>
            <w:tcW w:type="dxa" w:w="1928"/>
            <w:tcBorders>
              <w:top w:val="single" w:color="DDE2E7" w:sz="4"/>
              <w:left w:val="single" w:color="DDE2E7" w:sz="4"/>
              <w:bottom w:val="single" w:color="DDE2E7" w:sz="4"/>
              <w:right w:val="single" w:color="DDE2E7" w:sz="4"/>
            </w:tcBorders>
            <w:tcMar>
              <w:top w:type="dxa" w:w="60"/>
              <w:left w:type="dxa" w:w="90"/>
              <w:bottom w:type="dxa" w:w="60"/>
              <w:right w:type="dxa" w:w="90"/>
            </w:tcMar>
            <w:vAlign w:val="top"/>
          </w:tcPr>
          <w:p>
            <w:pPr>
              <w:spacing w:after="0" w:line="252"/>
            </w:pPr>
            <w:r>
              <w:rPr>
                <w:rFonts w:ascii="Calibri" w:cs="Calibri" w:eastAsia="Calibri" w:hAnsi="Calibri"/>
                <w:b w:val="false"/>
                <w:bCs w:val="false"/>
                <w:color w:val="0F1729"/>
                <w:sz w:val="19"/>
                <w:szCs w:val="19"/>
              </w:rPr>
              <w:t xml:space="preserve">Validation and documentation</w:t>
            </w:r>
          </w:p>
        </w:tc>
        <w:tc>
          <w:tcPr>
            <w:tcW w:type="dxa" w:w="5976"/>
            <w:tcBorders>
              <w:top w:val="single" w:color="DDE2E7" w:sz="4"/>
              <w:left w:val="single" w:color="DDE2E7" w:sz="4"/>
              <w:bottom w:val="single" w:color="DDE2E7" w:sz="4"/>
              <w:right w:val="single" w:color="DDE2E7" w:sz="4"/>
            </w:tcBorders>
            <w:tcMar>
              <w:top w:type="dxa" w:w="60"/>
              <w:left w:type="dxa" w:w="90"/>
              <w:bottom w:type="dxa" w:w="60"/>
              <w:right w:type="dxa" w:w="90"/>
            </w:tcMar>
            <w:vAlign w:val="top"/>
          </w:tcPr>
          <w:p>
            <w:pPr>
              <w:spacing w:after="0" w:line="252"/>
            </w:pPr>
            <w:r>
              <w:rPr>
                <w:rFonts w:ascii="Calibri" w:cs="Calibri" w:eastAsia="Calibri" w:hAnsi="Calibri"/>
                <w:b w:val="false"/>
                <w:bCs w:val="false"/>
                <w:color w:val="0F1729"/>
                <w:sz w:val="19"/>
                <w:szCs w:val="19"/>
              </w:rPr>
              <w:t xml:space="preserve">Workflow testing in the browser, seed reconciliation checks, production architecture, security and continuity design, this document and the user guide.</w:t>
            </w:r>
          </w:p>
        </w:tc>
      </w:tr>
    </w:tbl>
    <w:p>
      <w:pPr>
        <w:pStyle w:val="Heading2"/>
        <w:keepNext/>
        <w:spacing w:after="80" w:before="220"/>
      </w:pPr>
      <w:bookmarkStart w:name="_Toc4" w:id="4"/>
      <w:r>
        <w:rPr>
          <w:rFonts w:ascii="Calibri" w:cs="Calibri" w:eastAsia="Calibri" w:hAnsi="Calibri"/>
          <w:b/>
          <w:bCs/>
          <w:color w:val="283F8F"/>
          <w:sz w:val="25"/>
          <w:szCs w:val="25"/>
        </w:rPr>
        <w:t xml:space="preserve">2.1 Sources</w:t>
      </w:r>
      <w:bookmarkEnd w:id="4"/>
    </w:p>
    <w:p>
      <w:pPr>
        <w:spacing w:after="100" w:before="0" w:line="264"/>
      </w:pPr>
      <w:r>
        <w:rPr>
          <w:rFonts w:ascii="Calibri" w:cs="Calibri" w:eastAsia="Calibri" w:hAnsi="Calibri"/>
          <w:color w:val="0F1729"/>
          <w:sz w:val="21"/>
          <w:szCs w:val="21"/>
        </w:rPr>
        <w:t xml:space="preserve">Everything in the domain model traces back to one of these sources. Where a figure in the prototype is not published (for example the reefer monitoring rate), it is marked as a placeholder on the Tariff screen so it cannot be mistaken for a fact.</w:t>
      </w:r>
    </w:p>
    <w:p>
      <w:pPr>
        <w:pStyle w:val="ListParagraph"/>
        <w:numPr>
          <w:ilvl w:val="0"/>
          <w:numId w:val="2"/>
        </w:numPr>
        <w:spacing w:after="50" w:line="264"/>
      </w:pPr>
      <w:r>
        <w:rPr>
          <w:rFonts w:ascii="Calibri" w:cs="Calibri" w:eastAsia="Calibri" w:hAnsi="Calibri"/>
          <w:color w:val="0F1729"/>
          <w:sz w:val="21"/>
          <w:szCs w:val="21"/>
        </w:rPr>
        <w:t xml:space="preserve">gulftainer.com: About us, Solutions, Digital technologies, news releases 2025 and 2026, the Client Portal menu (customer registration, vessel schedule, container charges enquiry, container tracking, TOS portal, GT Lines portal, e-token portal).</w:t>
      </w:r>
    </w:p>
    <w:p>
      <w:pPr>
        <w:pStyle w:val="ListParagraph"/>
        <w:numPr>
          <w:ilvl w:val="0"/>
          <w:numId w:val="2"/>
        </w:numPr>
        <w:spacing w:after="50" w:line="264"/>
      </w:pPr>
      <w:r>
        <w:rPr>
          <w:rFonts w:ascii="Calibri" w:cs="Calibri" w:eastAsia="Calibri" w:hAnsi="Calibri"/>
          <w:color w:val="0F1729"/>
          <w:sz w:val="21"/>
          <w:szCs w:val="21"/>
        </w:rPr>
        <w:t xml:space="preserve">Khorfakkan Container Terminal brochure (June 2026): 5 million TEU capacity, 1,880 m quay, 16 m draft, 18 STS cranes, 28 RTGs, 63 terminal tractors, 50,000 TEU yard, 623 reefer plugs, 29 gross moves per hour, 24/7 operations, MACH TOS and SAP since 2017.</w:t>
      </w:r>
    </w:p>
    <w:p>
      <w:pPr>
        <w:pStyle w:val="ListParagraph"/>
        <w:numPr>
          <w:ilvl w:val="0"/>
          <w:numId w:val="2"/>
        </w:numPr>
        <w:spacing w:after="50" w:line="264"/>
      </w:pPr>
      <w:r>
        <w:rPr>
          <w:rFonts w:ascii="Calibri" w:cs="Calibri" w:eastAsia="Calibri" w:hAnsi="Calibri"/>
          <w:color w:val="0F1729"/>
          <w:sz w:val="21"/>
          <w:szCs w:val="21"/>
        </w:rPr>
        <w:t xml:space="preserve">Schedule of Charges effective 1 June 2026: stevedoring, port receiving, shifting, storage slabs by day and category, dangerous goods surcharge, pre-arrival document obligations (clause 8), overtime window (clause 21.1), misdeclaration (clause 26).</w:t>
      </w:r>
    </w:p>
    <w:p>
      <w:pPr>
        <w:pStyle w:val="ListParagraph"/>
        <w:numPr>
          <w:ilvl w:val="0"/>
          <w:numId w:val="2"/>
        </w:numPr>
        <w:spacing w:after="50" w:line="264"/>
      </w:pPr>
      <w:r>
        <w:rPr>
          <w:rFonts w:ascii="Calibri" w:cs="Calibri" w:eastAsia="Calibri" w:hAnsi="Calibri"/>
          <w:color w:val="0F1729"/>
          <w:sz w:val="21"/>
          <w:szCs w:val="21"/>
        </w:rPr>
        <w:t xml:space="preserve">Customer advisories GT/26/015, GT/26/016 and GT/26/019 (March and June 2026): clearing agents and forwarders to complete customs and delivery order formalities promptly; the Marshall Yard E-Token portal; e-token tariff (AED 25 import pick-up, AED 20 amendment).</w:t>
      </w:r>
    </w:p>
    <w:p>
      <w:pPr>
        <w:pStyle w:val="ListParagraph"/>
        <w:numPr>
          <w:ilvl w:val="0"/>
          <w:numId w:val="2"/>
        </w:numPr>
        <w:spacing w:after="50" w:line="264"/>
      </w:pPr>
      <w:r>
        <w:rPr>
          <w:rFonts w:ascii="Calibri" w:cs="Calibri" w:eastAsia="Calibri" w:hAnsi="Calibri"/>
          <w:color w:val="0F1729"/>
          <w:sz w:val="21"/>
          <w:szCs w:val="21"/>
        </w:rPr>
        <w:t xml:space="preserve">Customer registration advisory (6 March 2026): online payment is the only accepted mode for cargo collection; the Container Cash Collection screen with full, partial and zero payment per service line and the 22:00 to 06:00 overtime window.</w:t>
      </w:r>
    </w:p>
    <w:p>
      <w:pPr>
        <w:pStyle w:val="ListParagraph"/>
        <w:numPr>
          <w:ilvl w:val="0"/>
          <w:numId w:val="2"/>
        </w:numPr>
        <w:spacing w:after="50" w:line="264"/>
      </w:pPr>
      <w:r>
        <w:rPr>
          <w:rFonts w:ascii="Calibri" w:cs="Calibri" w:eastAsia="Calibri" w:hAnsi="Calibri"/>
          <w:color w:val="0F1729"/>
          <w:sz w:val="21"/>
          <w:szCs w:val="21"/>
        </w:rPr>
        <w:t xml:space="preserve">Marshall Yard E-Token Consignee User Manual: dashboard counters, container assignment to hauliers, token deletion only before marshalling yard entry.</w:t>
      </w:r>
    </w:p>
    <w:p>
      <w:pPr>
        <w:pStyle w:val="ListParagraph"/>
        <w:numPr>
          <w:ilvl w:val="0"/>
          <w:numId w:val="2"/>
        </w:numPr>
        <w:spacing w:after="50" w:line="264"/>
      </w:pPr>
      <w:r>
        <w:rPr>
          <w:rFonts w:ascii="Calibri" w:cs="Calibri" w:eastAsia="Calibri" w:hAnsi="Calibri"/>
          <w:color w:val="0F1729"/>
          <w:sz w:val="21"/>
          <w:szCs w:val="21"/>
        </w:rPr>
        <w:t xml:space="preserve">Momentum Logistics customer advisory (1 April 2026): containers not collected within three days of vessel completion are transferred to Sharjah Inland Container Depot or Saja’a Dry Port for the account of the cargo interests.</w:t>
      </w:r>
    </w:p>
    <w:p>
      <w:pPr>
        <w:pStyle w:val="ListParagraph"/>
        <w:numPr>
          <w:ilvl w:val="0"/>
          <w:numId w:val="2"/>
        </w:numPr>
        <w:spacing w:after="50" w:line="264"/>
      </w:pPr>
      <w:r>
        <w:rPr>
          <w:rFonts w:ascii="Calibri" w:cs="Calibri" w:eastAsia="Calibri" w:hAnsi="Calibri"/>
          <w:color w:val="0F1729"/>
          <w:sz w:val="21"/>
          <w:szCs w:val="21"/>
        </w:rPr>
        <w:t xml:space="preserve">momentumlogistics.com: inland container depot, logistics cities, contract logistics (receipt, put-away, storage, pick, pack, dispatch, inventory management), freight forwarding, container services.</w:t>
      </w:r>
    </w:p>
    <w:p>
      <w:pPr>
        <w:pStyle w:val="ListParagraph"/>
        <w:numPr>
          <w:ilvl w:val="0"/>
          <w:numId w:val="2"/>
        </w:numPr>
        <w:spacing w:after="50" w:line="264"/>
      </w:pPr>
      <w:r>
        <w:rPr>
          <w:rFonts w:ascii="Calibri" w:cs="Calibri" w:eastAsia="Calibri" w:hAnsi="Calibri"/>
          <w:color w:val="0F1729"/>
          <w:sz w:val="21"/>
          <w:szCs w:val="21"/>
        </w:rPr>
        <w:t xml:space="preserve">Trade press, July to October 2026: the USD 2 billion strategy and four platforms (GT Ports, GT Logistics, GT Parks, GT Maritime), Khorfakkan expansion to 5 and then 10 million TEU, Al Dhaid corridor, Sajaa bonded dry port, UAE to Umm Qasr feeder by GT Lines, EGA aluminium exports agreement.</w:t>
      </w:r>
    </w:p>
    <w:p>
      <w:pPr>
        <w:pStyle w:val="Heading1"/>
        <w:keepNext/>
        <w:spacing w:after="120" w:before="280"/>
      </w:pPr>
      <w:bookmarkStart w:name="_Toc5" w:id="5"/>
      <w:r>
        <w:rPr>
          <w:rFonts w:ascii="Calibri" w:cs="Calibri" w:eastAsia="Calibri" w:hAnsi="Calibri"/>
          <w:b/>
          <w:bCs/>
          <w:color w:val="0F1729"/>
          <w:sz w:val="32"/>
          <w:szCs w:val="32"/>
        </w:rPr>
        <w:t xml:space="preserve">3. Gulftainer as the research found it</w:t>
      </w:r>
      <w:bookmarkEnd w:id="5"/>
    </w:p>
    <w:p>
      <w:pPr>
        <w:pStyle w:val="Heading2"/>
        <w:keepNext/>
        <w:spacing w:after="80" w:before="220"/>
      </w:pPr>
      <w:bookmarkStart w:name="_Toc6" w:id="6"/>
      <w:r>
        <w:rPr>
          <w:rFonts w:ascii="Calibri" w:cs="Calibri" w:eastAsia="Calibri" w:hAnsi="Calibri"/>
          <w:b/>
          <w:bCs/>
          <w:color w:val="283F8F"/>
          <w:sz w:val="25"/>
          <w:szCs w:val="25"/>
        </w:rPr>
        <w:t xml:space="preserve">3.1 The business</w:t>
      </w:r>
      <w:bookmarkEnd w:id="6"/>
    </w:p>
    <w:p>
      <w:pPr>
        <w:spacing w:after="100" w:before="0" w:line="264"/>
      </w:pPr>
      <w:r>
        <w:rPr>
          <w:rFonts w:ascii="Calibri" w:cs="Calibri" w:eastAsia="Calibri" w:hAnsi="Calibri"/>
          <w:color w:val="0F1729"/>
          <w:sz w:val="21"/>
          <w:szCs w:val="21"/>
        </w:rPr>
        <w:t xml:space="preserve">Gulftainer is a port and logistics operator founded in Sharjah in 1976. Its core is container terminal operation: Khorfakkan Container Terminal (the only fully operational UAE container terminal outside the Strait of Hormuz, and the group’s transhipment hub), Sharjah Container Terminal and Hamriyah in the UAE; Iraq Container Terminal at Umm Qasr; three terminals in Saudi Arabia through Gulf Stevedoring Contracting Company (Jeddah Northern Container Terminal, Jubail Commercial and Industrial Ports); and Canaveral Cargo Terminal and Wilmington in the United States. It also handles bulk, break-bulk, Ro-Ro and project cargo.</w:t>
      </w:r>
    </w:p>
    <w:p>
      <w:pPr>
        <w:spacing w:after="100" w:before="0" w:line="264"/>
      </w:pPr>
      <w:r>
        <w:rPr>
          <w:rFonts w:ascii="Calibri" w:cs="Calibri" w:eastAsia="Calibri" w:hAnsi="Calibri"/>
          <w:color w:val="0F1729"/>
          <w:sz w:val="21"/>
          <w:szCs w:val="21"/>
        </w:rPr>
        <w:t xml:space="preserve">GT Logistics, largely through Momentum Logistics, operates the Sharjah Inland Container Depot, the Sajaa bonded dry port, the Umm Qasr Logistics Centre, the Jubail inland depot and empty yard, a truck fleet, contract-logistics warehouses, freight forwarding with in-house customs brokerage, and container repair and trading. In July 2026 the group announced a USD 2 billion strategy organised as four platforms and a plan to connect Khorfakkan to Etihad Rail through the Al Dhaid corridor. The 2026 Hormuz disruption pushed Khorfakkan’s local UAE cargo from about 6,000 to more than 150,000 TEU, which is why yard capacity and the three-day collection rule matter so much this year.</w:t>
      </w:r>
    </w:p>
    <w:p>
      <w:pPr>
        <w:pStyle w:val="Heading2"/>
        <w:keepNext/>
        <w:spacing w:after="80" w:before="220"/>
      </w:pPr>
      <w:bookmarkStart w:name="_Toc7" w:id="7"/>
      <w:r>
        <w:rPr>
          <w:rFonts w:ascii="Calibri" w:cs="Calibri" w:eastAsia="Calibri" w:hAnsi="Calibri"/>
          <w:b/>
          <w:bCs/>
          <w:color w:val="283F8F"/>
          <w:sz w:val="25"/>
          <w:szCs w:val="25"/>
        </w:rPr>
        <w:t xml:space="preserve">3.2 Systems in use</w:t>
      </w:r>
      <w:bookmarkEnd w:id="7"/>
    </w:p>
    <w:p>
      <w:pPr>
        <w:pStyle w:val="ListParagraph"/>
        <w:numPr>
          <w:ilvl w:val="0"/>
          <w:numId w:val="2"/>
        </w:numPr>
        <w:spacing w:after="50" w:line="264"/>
      </w:pPr>
      <w:r>
        <w:rPr>
          <w:rFonts w:ascii="Calibri" w:cs="Calibri" w:eastAsia="Calibri" w:hAnsi="Calibri"/>
          <w:color w:val="0F1729"/>
          <w:sz w:val="21"/>
          <w:szCs w:val="21"/>
        </w:rPr>
        <w:t xml:space="preserve">MACH terminal operating system (customer portal at tos.gulftainer.com, being replaced by a new customer service portal from 1 November 2026) and TCS Dynaport.</w:t>
      </w:r>
    </w:p>
    <w:p>
      <w:pPr>
        <w:pStyle w:val="ListParagraph"/>
        <w:numPr>
          <w:ilvl w:val="0"/>
          <w:numId w:val="2"/>
        </w:numPr>
        <w:spacing w:after="50" w:line="264"/>
      </w:pPr>
      <w:r>
        <w:rPr>
          <w:rFonts w:ascii="Calibri" w:cs="Calibri" w:eastAsia="Calibri" w:hAnsi="Calibri"/>
          <w:color w:val="0F1729"/>
          <w:sz w:val="21"/>
          <w:szCs w:val="21"/>
        </w:rPr>
        <w:t xml:space="preserve">SAP S/4HANA for finance, asset management and logistics; CargoWise One for freight forwarding; a transport management system at Momentum.</w:t>
      </w:r>
    </w:p>
    <w:p>
      <w:pPr>
        <w:pStyle w:val="ListParagraph"/>
        <w:numPr>
          <w:ilvl w:val="0"/>
          <w:numId w:val="2"/>
        </w:numPr>
        <w:spacing w:after="50" w:line="264"/>
      </w:pPr>
      <w:r>
        <w:rPr>
          <w:rFonts w:ascii="Calibri" w:cs="Calibri" w:eastAsia="Calibri" w:hAnsi="Calibri"/>
          <w:color w:val="0F1729"/>
          <w:sz w:val="21"/>
          <w:szCs w:val="21"/>
        </w:rPr>
        <w:t xml:space="preserve">E-services platform: customer registration, container tracking, e-token generator, online payment through a secure gateway.</w:t>
      </w:r>
    </w:p>
    <w:p>
      <w:pPr>
        <w:pStyle w:val="ListParagraph"/>
        <w:numPr>
          <w:ilvl w:val="0"/>
          <w:numId w:val="2"/>
        </w:numPr>
        <w:spacing w:after="50" w:line="264"/>
      </w:pPr>
      <w:r>
        <w:rPr>
          <w:rFonts w:ascii="Calibri" w:cs="Calibri" w:eastAsia="Calibri" w:hAnsi="Calibri"/>
          <w:color w:val="0F1729"/>
          <w:sz w:val="21"/>
          <w:szCs w:val="21"/>
        </w:rPr>
        <w:t xml:space="preserve">IT infrastructure, as described publicly by the IT infrastructure lead: Microsoft 365 with Conditional Access and Defender, Intune device management, Aruba ClearPass network access control, privileged access management, Azure, OCI and AWS, Veeam backups with restore testing for ISO 27001, Zabbix and Grafana monitoring, managed service providers under SLA, 24/7 uptime.</w:t>
      </w:r>
    </w:p>
    <w:p>
      <w:pPr>
        <w:pStyle w:val="Heading2"/>
        <w:keepNext/>
        <w:spacing w:after="80" w:before="220"/>
      </w:pPr>
      <w:bookmarkStart w:name="_Toc8" w:id="8"/>
      <w:r>
        <w:rPr>
          <w:rFonts w:ascii="Calibri" w:cs="Calibri" w:eastAsia="Calibri" w:hAnsi="Calibri"/>
          <w:b/>
          <w:bCs/>
          <w:color w:val="283F8F"/>
          <w:sz w:val="25"/>
          <w:szCs w:val="25"/>
        </w:rPr>
        <w:t xml:space="preserve">3.3 How a container moves through the terminal today</w:t>
      </w:r>
      <w:bookmarkEnd w:id="8"/>
    </w:p>
    <w:p>
      <w:pPr>
        <w:keepNext/>
        <w:spacing w:after="40" w:before="60"/>
        <w:jc w:val="center"/>
      </w:pPr>
      <w:r>
        <w:drawing>
          <wp:inline distT="0" distB="0" distL="0" distR="0">
            <wp:extent cx="6124575" cy="2428875"/>
            <wp:effectExtent t="0" r="0" b="0" l="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124575" cy="2428875"/>
                    </a:xfrm>
                    <a:prstGeom prst="rect">
                      <a:avLst/>
                    </a:prstGeom>
                  </pic:spPr>
                </pic:pic>
              </a:graphicData>
            </a:graphic>
          </wp:inline>
        </w:drawing>
      </w:r>
    </w:p>
    <w:p>
      <w:pPr>
        <w:spacing w:after="140"/>
        <w:jc w:val="center"/>
      </w:pPr>
      <w:r>
        <w:rPr>
          <w:rFonts w:ascii="Calibri" w:cs="Calibri" w:eastAsia="Calibri" w:hAnsi="Calibri"/>
          <w:i/>
          <w:iCs/>
          <w:color w:val="8A93A3"/>
          <w:sz w:val="17"/>
          <w:szCs w:val="17"/>
        </w:rPr>
        <w:t xml:space="preserve">Figure 1. Import container lifecycle and release conditions as modelled.</w:t>
      </w:r>
    </w:p>
    <w:p>
      <w:pPr>
        <w:pStyle w:val="ListParagraph"/>
        <w:numPr>
          <w:ilvl w:val="0"/>
          <w:numId w:val="3"/>
        </w:numPr>
        <w:spacing w:after="50" w:line="264"/>
      </w:pPr>
      <w:r>
        <w:rPr>
          <w:rFonts w:ascii="Calibri" w:cs="Calibri" w:eastAsia="Calibri" w:hAnsi="Calibri"/>
          <w:color w:val="0F1729"/>
          <w:sz w:val="21"/>
          <w:szCs w:val="21"/>
        </w:rPr>
        <w:t xml:space="preserve">The carrier gives 72, 48 and 24 hour arrival notices and, 48 hours before arrival, the bay plan, discharge and load lists, dangerous cargo list and BAPLIE by EDI.</w:t>
      </w:r>
    </w:p>
    <w:p>
      <w:pPr>
        <w:pStyle w:val="ListParagraph"/>
        <w:numPr>
          <w:ilvl w:val="0"/>
          <w:numId w:val="3"/>
        </w:numPr>
        <w:spacing w:after="50" w:line="264"/>
      </w:pPr>
      <w:r>
        <w:rPr>
          <w:rFonts w:ascii="Calibri" w:cs="Calibri" w:eastAsia="Calibri" w:hAnsi="Calibri"/>
          <w:color w:val="0F1729"/>
          <w:sz w:val="21"/>
          <w:szCs w:val="21"/>
        </w:rPr>
        <w:t xml:space="preserve">The vessel berths and is worked around the clock; each discharge is a stevedoring charge to the line and starts the storage clock.</w:t>
      </w:r>
    </w:p>
    <w:p>
      <w:pPr>
        <w:pStyle w:val="ListParagraph"/>
        <w:numPr>
          <w:ilvl w:val="0"/>
          <w:numId w:val="3"/>
        </w:numPr>
        <w:spacing w:after="50" w:line="264"/>
      </w:pPr>
      <w:r>
        <w:rPr>
          <w:rFonts w:ascii="Calibri" w:cs="Calibri" w:eastAsia="Calibri" w:hAnsi="Calibri"/>
          <w:color w:val="0F1729"/>
          <w:sz w:val="21"/>
          <w:szCs w:val="21"/>
        </w:rPr>
        <w:t xml:space="preserve">The clearing agent or forwarder completes customs clearance and obtains the delivery order from the line; delays cost storage.</w:t>
      </w:r>
    </w:p>
    <w:p>
      <w:pPr>
        <w:pStyle w:val="ListParagraph"/>
        <w:numPr>
          <w:ilvl w:val="0"/>
          <w:numId w:val="3"/>
        </w:numPr>
        <w:spacing w:after="50" w:line="264"/>
      </w:pPr>
      <w:r>
        <w:rPr>
          <w:rFonts w:ascii="Calibri" w:cs="Calibri" w:eastAsia="Calibri" w:hAnsi="Calibri"/>
          <w:color w:val="0F1729"/>
          <w:sz w:val="21"/>
          <w:szCs w:val="21"/>
        </w:rPr>
        <w:t xml:space="preserve">The consignee pays storage and service lines online through the customer portal (full, partial or zero per line) and assigns a haulier.</w:t>
      </w:r>
    </w:p>
    <w:p>
      <w:pPr>
        <w:pStyle w:val="ListParagraph"/>
        <w:numPr>
          <w:ilvl w:val="0"/>
          <w:numId w:val="3"/>
        </w:numPr>
        <w:spacing w:after="50" w:line="264"/>
      </w:pPr>
      <w:r>
        <w:rPr>
          <w:rFonts w:ascii="Calibri" w:cs="Calibri" w:eastAsia="Calibri" w:hAnsi="Calibri"/>
          <w:color w:val="0F1729"/>
          <w:sz w:val="21"/>
          <w:szCs w:val="21"/>
        </w:rPr>
        <w:t xml:space="preserve">The haulier generates an e-token for a two-hour slot; the truck checks in at the marshalling yard, after which the token cannot be deleted; the gate releases the box with an equipment interchange receipt.</w:t>
      </w:r>
    </w:p>
    <w:p>
      <w:pPr>
        <w:pStyle w:val="ListParagraph"/>
        <w:numPr>
          <w:ilvl w:val="0"/>
          <w:numId w:val="3"/>
        </w:numPr>
        <w:spacing w:after="50" w:line="264"/>
      </w:pPr>
      <w:r>
        <w:rPr>
          <w:rFonts w:ascii="Calibri" w:cs="Calibri" w:eastAsia="Calibri" w:hAnsi="Calibri"/>
          <w:color w:val="0F1729"/>
          <w:sz w:val="21"/>
          <w:szCs w:val="21"/>
        </w:rPr>
        <w:t xml:space="preserve">A box not collected within three days of vessel completion is moved to SICD or Sajaa; transfer and storage are for the cargo interests’ account.</w:t>
      </w:r>
    </w:p>
    <w:p>
      <w:pPr>
        <w:pStyle w:val="ListParagraph"/>
        <w:numPr>
          <w:ilvl w:val="0"/>
          <w:numId w:val="3"/>
        </w:numPr>
        <w:spacing w:after="50" w:line="264"/>
      </w:pPr>
      <w:r>
        <w:rPr>
          <w:rFonts w:ascii="Calibri" w:cs="Calibri" w:eastAsia="Calibri" w:hAnsi="Calibri"/>
          <w:color w:val="0F1729"/>
          <w:sz w:val="21"/>
          <w:szCs w:val="21"/>
        </w:rPr>
        <w:t xml:space="preserve">Exports are received only inside the gate window (four days before ETB to one day before), need a verified gross mass and customs clearance, and are loaded; transhipment boxes move vessel to yard to vessel.</w:t>
      </w:r>
    </w:p>
    <w:p>
      <w:pPr>
        <w:pStyle w:val="Heading1"/>
        <w:keepNext/>
        <w:spacing w:after="120" w:before="280"/>
      </w:pPr>
      <w:bookmarkStart w:name="_Toc9" w:id="9"/>
      <w:r>
        <w:rPr>
          <w:rFonts w:ascii="Calibri" w:cs="Calibri" w:eastAsia="Calibri" w:hAnsi="Calibri"/>
          <w:b/>
          <w:bCs/>
          <w:color w:val="0F1729"/>
          <w:sz w:val="32"/>
          <w:szCs w:val="32"/>
        </w:rPr>
        <w:t xml:space="preserve">4. The supplied SRS against Gulftainer’s reality</w:t>
      </w:r>
      <w:bookmarkEnd w:id="9"/>
    </w:p>
    <w:p>
      <w:pPr>
        <w:spacing w:after="100" w:before="0" w:line="264"/>
      </w:pPr>
      <w:r>
        <w:rPr>
          <w:rFonts w:ascii="Calibri" w:cs="Calibri" w:eastAsia="Calibri" w:hAnsi="Calibri"/>
          <w:color w:val="0F1729"/>
          <w:sz w:val="21"/>
          <w:szCs w:val="21"/>
        </w:rPr>
        <w:t xml:space="preserve">The specification I received describes a generic warehouse and inventory platform: cargo items with SKUs and quantities, stock reservations, low-stock alerts, shipments between locations. That model fits Momentum’s contract-logistics warehouses well, but it does not fit a container terminal, where the unit of work is a container with an ISO number, a vessel call, a yard position, holds, customs status, a delivery order and tariff-driven storage. The table records what I kept, what I re-modelled and what I set aside.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6"/>
        <w:gridCol w:w="3855"/>
        <w:gridCol w:w="3277"/>
      </w:tblGrid>
      <w:tr>
        <w:trPr>
          <w:cantSplit/>
          <w:tblHeader/>
        </w:trPr>
        <w:tc>
          <w:tcPr>
            <w:tcW w:type="dxa" w:w="2506"/>
            <w:tcBorders>
              <w:top w:val="single" w:color="DDE2E7" w:sz="4"/>
              <w:left w:val="single" w:color="DDE2E7" w:sz="4"/>
              <w:bottom w:val="single" w:color="DDE2E7" w:sz="4"/>
              <w:right w:val="single" w:color="DDE2E7" w:sz="4"/>
            </w:tcBorders>
            <w:shd w:fill="F4F6F8" w:color="auto" w:val="clear"/>
            <w:tcMar>
              <w:top w:type="dxa" w:w="60"/>
              <w:left w:type="dxa" w:w="90"/>
              <w:bottom w:type="dxa" w:w="60"/>
              <w:right w:type="dxa" w:w="90"/>
            </w:tcMar>
            <w:vAlign w:val="top"/>
          </w:tcPr>
          <w:p>
            <w:pPr>
              <w:spacing w:after="0" w:line="252"/>
            </w:pPr>
            <w:r>
              <w:rPr>
                <w:rFonts w:ascii="Calibri" w:cs="Calibri" w:eastAsia="Calibri" w:hAnsi="Calibri"/>
                <w:b/>
                <w:bCs/>
                <w:color w:val="5B6576"/>
                <w:sz w:val="19"/>
                <w:szCs w:val="19"/>
              </w:rPr>
              <w:t xml:space="preserve">SRS area</w:t>
            </w:r>
          </w:p>
        </w:tc>
        <w:tc>
          <w:tcPr>
            <w:tcW w:type="dxa" w:w="3855"/>
            <w:tcBorders>
              <w:top w:val="single" w:color="DDE2E7" w:sz="4"/>
              <w:left w:val="single" w:color="DDE2E7" w:sz="4"/>
              <w:bottom w:val="single" w:color="DDE2E7" w:sz="4"/>
              <w:right w:val="single" w:color="DDE2E7" w:sz="4"/>
            </w:tcBorders>
            <w:shd w:fill="F4F6F8" w:color="auto" w:val="clear"/>
            <w:tcMar>
              <w:top w:type="dxa" w:w="60"/>
              <w:left w:type="dxa" w:w="90"/>
              <w:bottom w:type="dxa" w:w="60"/>
              <w:right w:type="dxa" w:w="90"/>
            </w:tcMar>
            <w:vAlign w:val="top"/>
          </w:tcPr>
          <w:p>
            <w:pPr>
              <w:spacing w:after="0" w:line="252"/>
            </w:pPr>
            <w:r>
              <w:rPr>
                <w:rFonts w:ascii="Calibri" w:cs="Calibri" w:eastAsia="Calibri" w:hAnsi="Calibri"/>
                <w:b/>
                <w:bCs/>
                <w:color w:val="5B6576"/>
                <w:sz w:val="19"/>
                <w:szCs w:val="19"/>
              </w:rPr>
              <w:t xml:space="preserve">Decision</w:t>
            </w:r>
          </w:p>
        </w:tc>
        <w:tc>
          <w:tcPr>
            <w:tcW w:type="dxa" w:w="3277"/>
            <w:tcBorders>
              <w:top w:val="single" w:color="DDE2E7" w:sz="4"/>
              <w:left w:val="single" w:color="DDE2E7" w:sz="4"/>
              <w:bottom w:val="single" w:color="DDE2E7" w:sz="4"/>
              <w:right w:val="single" w:color="DDE2E7" w:sz="4"/>
            </w:tcBorders>
            <w:shd w:fill="F4F6F8" w:color="auto" w:val="clear"/>
            <w:tcMar>
              <w:top w:type="dxa" w:w="60"/>
              <w:left w:type="dxa" w:w="90"/>
              <w:bottom w:type="dxa" w:w="60"/>
              <w:right w:type="dxa" w:w="90"/>
            </w:tcMar>
            <w:vAlign w:val="top"/>
          </w:tcPr>
          <w:p>
            <w:pPr>
              <w:spacing w:after="0" w:line="252"/>
            </w:pPr>
            <w:r>
              <w:rPr>
                <w:rFonts w:ascii="Calibri" w:cs="Calibri" w:eastAsia="Calibri" w:hAnsi="Calibri"/>
                <w:b/>
                <w:bCs/>
                <w:color w:val="5B6576"/>
                <w:sz w:val="19"/>
                <w:szCs w:val="19"/>
              </w:rPr>
              <w:t xml:space="preserve">Reason</w:t>
            </w:r>
          </w:p>
        </w:tc>
      </w:tr>
      <w:tr>
        <w:trPr>
          <w:cantSplit/>
          <w:tblHeader w:val="off"/>
        </w:trPr>
        <w:tc>
          <w:tcPr>
            <w:tcW w:type="dxa" w:w="2506"/>
            <w:tcBorders>
              <w:top w:val="single" w:color="DDE2E7" w:sz="4"/>
              <w:left w:val="single" w:color="DDE2E7" w:sz="4"/>
              <w:bottom w:val="single" w:color="DDE2E7" w:sz="4"/>
              <w:right w:val="single" w:color="DDE2E7" w:sz="4"/>
            </w:tcBorders>
            <w:tcMar>
              <w:top w:type="dxa" w:w="60"/>
              <w:left w:type="dxa" w:w="90"/>
              <w:bottom w:type="dxa" w:w="60"/>
              <w:right w:type="dxa" w:w="90"/>
            </w:tcMar>
            <w:vAlign w:val="top"/>
          </w:tcPr>
          <w:p>
            <w:pPr>
              <w:spacing w:after="0" w:line="252"/>
            </w:pPr>
            <w:r>
              <w:rPr>
                <w:rFonts w:ascii="Calibri" w:cs="Calibri" w:eastAsia="Calibri" w:hAnsi="Calibri"/>
                <w:b w:val="false"/>
                <w:bCs w:val="false"/>
                <w:color w:val="0F1729"/>
                <w:sz w:val="19"/>
                <w:szCs w:val="19"/>
              </w:rPr>
              <w:t xml:space="preserve">Cargo records with SKU, quantity, weight, barcode</w:t>
            </w:r>
          </w:p>
        </w:tc>
        <w:tc>
          <w:tcPr>
            <w:tcW w:type="dxa" w:w="3855"/>
            <w:tcBorders>
              <w:top w:val="single" w:color="DDE2E7" w:sz="4"/>
              <w:left w:val="single" w:color="DDE2E7" w:sz="4"/>
              <w:bottom w:val="single" w:color="DDE2E7" w:sz="4"/>
              <w:right w:val="single" w:color="DDE2E7" w:sz="4"/>
            </w:tcBorders>
            <w:tcMar>
              <w:top w:type="dxa" w:w="60"/>
              <w:left w:type="dxa" w:w="90"/>
              <w:bottom w:type="dxa" w:w="60"/>
              <w:right w:type="dxa" w:w="90"/>
            </w:tcMar>
            <w:vAlign w:val="top"/>
          </w:tcPr>
          <w:p>
            <w:pPr>
              <w:spacing w:after="0" w:line="252"/>
            </w:pPr>
            <w:r>
              <w:rPr>
                <w:rFonts w:ascii="Calibri" w:cs="Calibri" w:eastAsia="Calibri" w:hAnsi="Calibri"/>
                <w:b w:val="false"/>
                <w:bCs w:val="false"/>
                <w:color w:val="0F1729"/>
                <w:sz w:val="19"/>
                <w:szCs w:val="19"/>
              </w:rPr>
              <w:t xml:space="preserve">Re-modelled as containers (ISO 6346, size and type, category, DG, OOG, reefer) for the terminal; kept as SKUs for Momentum warehouses</w:t>
            </w:r>
          </w:p>
        </w:tc>
        <w:tc>
          <w:tcPr>
            <w:tcW w:type="dxa" w:w="3277"/>
            <w:tcBorders>
              <w:top w:val="single" w:color="DDE2E7" w:sz="4"/>
              <w:left w:val="single" w:color="DDE2E7" w:sz="4"/>
              <w:bottom w:val="single" w:color="DDE2E7" w:sz="4"/>
              <w:right w:val="single" w:color="DDE2E7" w:sz="4"/>
            </w:tcBorders>
            <w:tcMar>
              <w:top w:type="dxa" w:w="60"/>
              <w:left w:type="dxa" w:w="90"/>
              <w:bottom w:type="dxa" w:w="60"/>
              <w:right w:type="dxa" w:w="90"/>
            </w:tcMar>
            <w:vAlign w:val="top"/>
          </w:tcPr>
          <w:p>
            <w:pPr>
              <w:spacing w:after="0" w:line="252"/>
            </w:pPr>
            <w:r>
              <w:rPr>
                <w:rFonts w:ascii="Calibri" w:cs="Calibri" w:eastAsia="Calibri" w:hAnsi="Calibri"/>
                <w:b w:val="false"/>
                <w:bCs w:val="false"/>
                <w:color w:val="0F1729"/>
                <w:sz w:val="19"/>
                <w:szCs w:val="19"/>
              </w:rPr>
              <w:t xml:space="preserve">Terminal operations never count units of a commodity; they move boxes.</w:t>
            </w:r>
          </w:p>
        </w:tc>
      </w:tr>
      <w:tr>
        <w:trPr>
          <w:cantSplit/>
          <w:tblHeader w:val="off"/>
        </w:trPr>
        <w:tc>
          <w:tcPr>
            <w:tcW w:type="dxa" w:w="2506"/>
            <w:tcBorders>
              <w:top w:val="single" w:color="DDE2E7" w:sz="4"/>
              <w:left w:val="single" w:color="DDE2E7" w:sz="4"/>
              <w:bottom w:val="single" w:color="DDE2E7" w:sz="4"/>
              <w:right w:val="single" w:color="DDE2E7" w:sz="4"/>
            </w:tcBorders>
            <w:tcMar>
              <w:top w:type="dxa" w:w="60"/>
              <w:left w:type="dxa" w:w="90"/>
              <w:bottom w:type="dxa" w:w="60"/>
              <w:right w:type="dxa" w:w="90"/>
            </w:tcMar>
            <w:vAlign w:val="top"/>
          </w:tcPr>
          <w:p>
            <w:pPr>
              <w:spacing w:after="0" w:line="252"/>
            </w:pPr>
            <w:r>
              <w:rPr>
                <w:rFonts w:ascii="Calibri" w:cs="Calibri" w:eastAsia="Calibri" w:hAnsi="Calibri"/>
                <w:b w:val="false"/>
                <w:bCs w:val="false"/>
                <w:color w:val="0F1729"/>
                <w:sz w:val="19"/>
                <w:szCs w:val="19"/>
              </w:rPr>
              <w:t xml:space="preserve">Inventory ledger, balances, reservations, adjustments with approval</w:t>
            </w:r>
          </w:p>
        </w:tc>
        <w:tc>
          <w:tcPr>
            <w:tcW w:type="dxa" w:w="3855"/>
            <w:tcBorders>
              <w:top w:val="single" w:color="DDE2E7" w:sz="4"/>
              <w:left w:val="single" w:color="DDE2E7" w:sz="4"/>
              <w:bottom w:val="single" w:color="DDE2E7" w:sz="4"/>
              <w:right w:val="single" w:color="DDE2E7" w:sz="4"/>
            </w:tcBorders>
            <w:tcMar>
              <w:top w:type="dxa" w:w="60"/>
              <w:left w:type="dxa" w:w="90"/>
              <w:bottom w:type="dxa" w:w="60"/>
              <w:right w:type="dxa" w:w="90"/>
            </w:tcMar>
            <w:vAlign w:val="top"/>
          </w:tcPr>
          <w:p>
            <w:pPr>
              <w:spacing w:after="0" w:line="252"/>
            </w:pPr>
            <w:r>
              <w:rPr>
                <w:rFonts w:ascii="Calibri" w:cs="Calibri" w:eastAsia="Calibri" w:hAnsi="Calibri"/>
                <w:b w:val="false"/>
                <w:bCs w:val="false"/>
                <w:color w:val="0F1729"/>
                <w:sz w:val="19"/>
                <w:szCs w:val="19"/>
              </w:rPr>
              <w:t xml:space="preserve">Kept in full for warehouse stock; the same immutable-ledger idea applied to containers as an append-only event history</w:t>
            </w:r>
          </w:p>
        </w:tc>
        <w:tc>
          <w:tcPr>
            <w:tcW w:type="dxa" w:w="3277"/>
            <w:tcBorders>
              <w:top w:val="single" w:color="DDE2E7" w:sz="4"/>
              <w:left w:val="single" w:color="DDE2E7" w:sz="4"/>
              <w:bottom w:val="single" w:color="DDE2E7" w:sz="4"/>
              <w:right w:val="single" w:color="DDE2E7" w:sz="4"/>
            </w:tcBorders>
            <w:tcMar>
              <w:top w:type="dxa" w:w="60"/>
              <w:left w:type="dxa" w:w="90"/>
              <w:bottom w:type="dxa" w:w="60"/>
              <w:right w:type="dxa" w:w="90"/>
            </w:tcMar>
            <w:vAlign w:val="top"/>
          </w:tcPr>
          <w:p>
            <w:pPr>
              <w:spacing w:after="0" w:line="252"/>
            </w:pPr>
            <w:r>
              <w:rPr>
                <w:rFonts w:ascii="Calibri" w:cs="Calibri" w:eastAsia="Calibri" w:hAnsi="Calibri"/>
                <w:b w:val="false"/>
                <w:bCs w:val="false"/>
                <w:color w:val="0F1729"/>
                <w:sz w:val="19"/>
                <w:szCs w:val="19"/>
              </w:rPr>
              <w:t xml:space="preserve">Section 4.3 of the SRS is the strongest part of the brief and matches contract-logistics practice.</w:t>
            </w:r>
          </w:p>
        </w:tc>
      </w:tr>
      <w:tr>
        <w:trPr>
          <w:cantSplit/>
          <w:tblHeader w:val="off"/>
        </w:trPr>
        <w:tc>
          <w:tcPr>
            <w:tcW w:type="dxa" w:w="2506"/>
            <w:tcBorders>
              <w:top w:val="single" w:color="DDE2E7" w:sz="4"/>
              <w:left w:val="single" w:color="DDE2E7" w:sz="4"/>
              <w:bottom w:val="single" w:color="DDE2E7" w:sz="4"/>
              <w:right w:val="single" w:color="DDE2E7" w:sz="4"/>
            </w:tcBorders>
            <w:tcMar>
              <w:top w:type="dxa" w:w="60"/>
              <w:left w:type="dxa" w:w="90"/>
              <w:bottom w:type="dxa" w:w="60"/>
              <w:right w:type="dxa" w:w="90"/>
            </w:tcMar>
            <w:vAlign w:val="top"/>
          </w:tcPr>
          <w:p>
            <w:pPr>
              <w:spacing w:after="0" w:line="252"/>
            </w:pPr>
            <w:r>
              <w:rPr>
                <w:rFonts w:ascii="Calibri" w:cs="Calibri" w:eastAsia="Calibri" w:hAnsi="Calibri"/>
                <w:b w:val="false"/>
                <w:bCs w:val="false"/>
                <w:color w:val="0F1729"/>
                <w:sz w:val="19"/>
                <w:szCs w:val="19"/>
              </w:rPr>
              <w:t xml:space="preserve">Low-stock alerts</w:t>
            </w:r>
          </w:p>
        </w:tc>
        <w:tc>
          <w:tcPr>
            <w:tcW w:type="dxa" w:w="3855"/>
            <w:tcBorders>
              <w:top w:val="single" w:color="DDE2E7" w:sz="4"/>
              <w:left w:val="single" w:color="DDE2E7" w:sz="4"/>
              <w:bottom w:val="single" w:color="DDE2E7" w:sz="4"/>
              <w:right w:val="single" w:color="DDE2E7" w:sz="4"/>
            </w:tcBorders>
            <w:tcMar>
              <w:top w:type="dxa" w:w="60"/>
              <w:left w:type="dxa" w:w="90"/>
              <w:bottom w:type="dxa" w:w="60"/>
              <w:right w:type="dxa" w:w="90"/>
            </w:tcMar>
            <w:vAlign w:val="top"/>
          </w:tcPr>
          <w:p>
            <w:pPr>
              <w:spacing w:after="0" w:line="252"/>
            </w:pPr>
            <w:r>
              <w:rPr>
                <w:rFonts w:ascii="Calibri" w:cs="Calibri" w:eastAsia="Calibri" w:hAnsi="Calibri"/>
                <w:b w:val="false"/>
                <w:bCs w:val="false"/>
                <w:color w:val="0F1729"/>
                <w:sz w:val="19"/>
                <w:szCs w:val="19"/>
              </w:rPr>
              <w:t xml:space="preserve">Kept for warehouse SKUs only</w:t>
            </w:r>
          </w:p>
        </w:tc>
        <w:tc>
          <w:tcPr>
            <w:tcW w:type="dxa" w:w="3277"/>
            <w:tcBorders>
              <w:top w:val="single" w:color="DDE2E7" w:sz="4"/>
              <w:left w:val="single" w:color="DDE2E7" w:sz="4"/>
              <w:bottom w:val="single" w:color="DDE2E7" w:sz="4"/>
              <w:right w:val="single" w:color="DDE2E7" w:sz="4"/>
            </w:tcBorders>
            <w:tcMar>
              <w:top w:type="dxa" w:w="60"/>
              <w:left w:type="dxa" w:w="90"/>
              <w:bottom w:type="dxa" w:w="60"/>
              <w:right w:type="dxa" w:w="90"/>
            </w:tcMar>
            <w:vAlign w:val="top"/>
          </w:tcPr>
          <w:p>
            <w:pPr>
              <w:spacing w:after="0" w:line="252"/>
            </w:pPr>
            <w:r>
              <w:rPr>
                <w:rFonts w:ascii="Calibri" w:cs="Calibri" w:eastAsia="Calibri" w:hAnsi="Calibri"/>
                <w:b w:val="false"/>
                <w:bCs w:val="false"/>
                <w:color w:val="0F1729"/>
                <w:sz w:val="19"/>
                <w:szCs w:val="19"/>
              </w:rPr>
              <w:t xml:space="preserve">Meaningless for containers; useful for FMCG and spare-parts customers.</w:t>
            </w:r>
          </w:p>
        </w:tc>
      </w:tr>
      <w:tr>
        <w:trPr>
          <w:cantSplit/>
          <w:tblHeader w:val="off"/>
        </w:trPr>
        <w:tc>
          <w:tcPr>
            <w:tcW w:type="dxa" w:w="2506"/>
            <w:tcBorders>
              <w:top w:val="single" w:color="DDE2E7" w:sz="4"/>
              <w:left w:val="single" w:color="DDE2E7" w:sz="4"/>
              <w:bottom w:val="single" w:color="DDE2E7" w:sz="4"/>
              <w:right w:val="single" w:color="DDE2E7" w:sz="4"/>
            </w:tcBorders>
            <w:tcMar>
              <w:top w:type="dxa" w:w="60"/>
              <w:left w:type="dxa" w:w="90"/>
              <w:bottom w:type="dxa" w:w="60"/>
              <w:right w:type="dxa" w:w="90"/>
            </w:tcMar>
            <w:vAlign w:val="top"/>
          </w:tcPr>
          <w:p>
            <w:pPr>
              <w:spacing w:after="0" w:line="252"/>
            </w:pPr>
            <w:r>
              <w:rPr>
                <w:rFonts w:ascii="Calibri" w:cs="Calibri" w:eastAsia="Calibri" w:hAnsi="Calibri"/>
                <w:b w:val="false"/>
                <w:bCs w:val="false"/>
                <w:color w:val="0F1729"/>
                <w:sz w:val="19"/>
                <w:szCs w:val="19"/>
              </w:rPr>
              <w:t xml:space="preserve">Shipments between locations</w:t>
            </w:r>
          </w:p>
        </w:tc>
        <w:tc>
          <w:tcPr>
            <w:tcW w:type="dxa" w:w="3855"/>
            <w:tcBorders>
              <w:top w:val="single" w:color="DDE2E7" w:sz="4"/>
              <w:left w:val="single" w:color="DDE2E7" w:sz="4"/>
              <w:bottom w:val="single" w:color="DDE2E7" w:sz="4"/>
              <w:right w:val="single" w:color="DDE2E7" w:sz="4"/>
            </w:tcBorders>
            <w:tcMar>
              <w:top w:type="dxa" w:w="60"/>
              <w:left w:type="dxa" w:w="90"/>
              <w:bottom w:type="dxa" w:w="60"/>
              <w:right w:type="dxa" w:w="90"/>
            </w:tcMar>
            <w:vAlign w:val="top"/>
          </w:tcPr>
          <w:p>
            <w:pPr>
              <w:spacing w:after="0" w:line="252"/>
            </w:pPr>
            <w:r>
              <w:rPr>
                <w:rFonts w:ascii="Calibri" w:cs="Calibri" w:eastAsia="Calibri" w:hAnsi="Calibri"/>
                <w:b w:val="false"/>
                <w:bCs w:val="false"/>
                <w:color w:val="0F1729"/>
                <w:sz w:val="19"/>
                <w:szCs w:val="19"/>
              </w:rPr>
              <w:t xml:space="preserve">Re-modelled as vessel calls, inland transfers and transport jobs</w:t>
            </w:r>
          </w:p>
        </w:tc>
        <w:tc>
          <w:tcPr>
            <w:tcW w:type="dxa" w:w="3277"/>
            <w:tcBorders>
              <w:top w:val="single" w:color="DDE2E7" w:sz="4"/>
              <w:left w:val="single" w:color="DDE2E7" w:sz="4"/>
              <w:bottom w:val="single" w:color="DDE2E7" w:sz="4"/>
              <w:right w:val="single" w:color="DDE2E7" w:sz="4"/>
            </w:tcBorders>
            <w:tcMar>
              <w:top w:type="dxa" w:w="60"/>
              <w:left w:type="dxa" w:w="90"/>
              <w:bottom w:type="dxa" w:w="60"/>
              <w:right w:type="dxa" w:w="90"/>
            </w:tcMar>
            <w:vAlign w:val="top"/>
          </w:tcPr>
          <w:p>
            <w:pPr>
              <w:spacing w:after="0" w:line="252"/>
            </w:pPr>
            <w:r>
              <w:rPr>
                <w:rFonts w:ascii="Calibri" w:cs="Calibri" w:eastAsia="Calibri" w:hAnsi="Calibri"/>
                <w:b w:val="false"/>
                <w:bCs w:val="false"/>
                <w:color w:val="0F1729"/>
                <w:sz w:val="19"/>
                <w:szCs w:val="19"/>
              </w:rPr>
              <w:t xml:space="preserve">Gulftainer’s movements are vessel programmes, depot transfers under the three-day rule, and truck jobs.</w:t>
            </w:r>
          </w:p>
        </w:tc>
      </w:tr>
      <w:tr>
        <w:trPr>
          <w:cantSplit/>
          <w:tblHeader w:val="off"/>
        </w:trPr>
        <w:tc>
          <w:tcPr>
            <w:tcW w:type="dxa" w:w="2506"/>
            <w:tcBorders>
              <w:top w:val="single" w:color="DDE2E7" w:sz="4"/>
              <w:left w:val="single" w:color="DDE2E7" w:sz="4"/>
              <w:bottom w:val="single" w:color="DDE2E7" w:sz="4"/>
              <w:right w:val="single" w:color="DDE2E7" w:sz="4"/>
            </w:tcBorders>
            <w:tcMar>
              <w:top w:type="dxa" w:w="60"/>
              <w:left w:type="dxa" w:w="90"/>
              <w:bottom w:type="dxa" w:w="60"/>
              <w:right w:type="dxa" w:w="90"/>
            </w:tcMar>
            <w:vAlign w:val="top"/>
          </w:tcPr>
          <w:p>
            <w:pPr>
              <w:spacing w:after="0" w:line="252"/>
            </w:pPr>
            <w:r>
              <w:rPr>
                <w:rFonts w:ascii="Calibri" w:cs="Calibri" w:eastAsia="Calibri" w:hAnsi="Calibri"/>
                <w:b w:val="false"/>
                <w:bCs w:val="false"/>
                <w:color w:val="0F1729"/>
                <w:sz w:val="19"/>
                <w:szCs w:val="19"/>
              </w:rPr>
              <w:t xml:space="preserve">Loading and unloading operations</w:t>
            </w:r>
          </w:p>
        </w:tc>
        <w:tc>
          <w:tcPr>
            <w:tcW w:type="dxa" w:w="3855"/>
            <w:tcBorders>
              <w:top w:val="single" w:color="DDE2E7" w:sz="4"/>
              <w:left w:val="single" w:color="DDE2E7" w:sz="4"/>
              <w:bottom w:val="single" w:color="DDE2E7" w:sz="4"/>
              <w:right w:val="single" w:color="DDE2E7" w:sz="4"/>
            </w:tcBorders>
            <w:tcMar>
              <w:top w:type="dxa" w:w="60"/>
              <w:left w:type="dxa" w:w="90"/>
              <w:bottom w:type="dxa" w:w="60"/>
              <w:right w:type="dxa" w:w="90"/>
            </w:tcMar>
            <w:vAlign w:val="top"/>
          </w:tcPr>
          <w:p>
            <w:pPr>
              <w:spacing w:after="0" w:line="252"/>
            </w:pPr>
            <w:r>
              <w:rPr>
                <w:rFonts w:ascii="Calibri" w:cs="Calibri" w:eastAsia="Calibri" w:hAnsi="Calibri"/>
                <w:b w:val="false"/>
                <w:bCs w:val="false"/>
                <w:color w:val="0F1729"/>
                <w:sz w:val="19"/>
                <w:szCs w:val="19"/>
              </w:rPr>
              <w:t xml:space="preserve">Re-modelled as discharge and load per vessel call, and gate-in and gate-out with EIR</w:t>
            </w:r>
          </w:p>
        </w:tc>
        <w:tc>
          <w:tcPr>
            <w:tcW w:type="dxa" w:w="3277"/>
            <w:tcBorders>
              <w:top w:val="single" w:color="DDE2E7" w:sz="4"/>
              <w:left w:val="single" w:color="DDE2E7" w:sz="4"/>
              <w:bottom w:val="single" w:color="DDE2E7" w:sz="4"/>
              <w:right w:val="single" w:color="DDE2E7" w:sz="4"/>
            </w:tcBorders>
            <w:tcMar>
              <w:top w:type="dxa" w:w="60"/>
              <w:left w:type="dxa" w:w="90"/>
              <w:bottom w:type="dxa" w:w="60"/>
              <w:right w:type="dxa" w:w="90"/>
            </w:tcMar>
            <w:vAlign w:val="top"/>
          </w:tcPr>
          <w:p>
            <w:pPr>
              <w:spacing w:after="0" w:line="252"/>
            </w:pPr>
            <w:r>
              <w:rPr>
                <w:rFonts w:ascii="Calibri" w:cs="Calibri" w:eastAsia="Calibri" w:hAnsi="Calibri"/>
                <w:b w:val="false"/>
                <w:bCs w:val="false"/>
                <w:color w:val="0F1729"/>
                <w:sz w:val="19"/>
                <w:szCs w:val="19"/>
              </w:rPr>
              <w:t xml:space="preserve">These are the terminal’s actual operations and their charges come from the tariff.</w:t>
            </w:r>
          </w:p>
        </w:tc>
      </w:tr>
      <w:tr>
        <w:trPr>
          <w:cantSplit/>
          <w:tblHeader w:val="off"/>
        </w:trPr>
        <w:tc>
          <w:tcPr>
            <w:tcW w:type="dxa" w:w="2506"/>
            <w:tcBorders>
              <w:top w:val="single" w:color="DDE2E7" w:sz="4"/>
              <w:left w:val="single" w:color="DDE2E7" w:sz="4"/>
              <w:bottom w:val="single" w:color="DDE2E7" w:sz="4"/>
              <w:right w:val="single" w:color="DDE2E7" w:sz="4"/>
            </w:tcBorders>
            <w:tcMar>
              <w:top w:type="dxa" w:w="60"/>
              <w:left w:type="dxa" w:w="90"/>
              <w:bottom w:type="dxa" w:w="60"/>
              <w:right w:type="dxa" w:w="90"/>
            </w:tcMar>
            <w:vAlign w:val="top"/>
          </w:tcPr>
          <w:p>
            <w:pPr>
              <w:spacing w:after="0" w:line="252"/>
            </w:pPr>
            <w:r>
              <w:rPr>
                <w:rFonts w:ascii="Calibri" w:cs="Calibri" w:eastAsia="Calibri" w:hAnsi="Calibri"/>
                <w:b w:val="false"/>
                <w:bCs w:val="false"/>
                <w:color w:val="0F1729"/>
                <w:sz w:val="19"/>
                <w:szCs w:val="19"/>
              </w:rPr>
              <w:t xml:space="preserve">Billing: freight, handling, storage charges, invoices, multiple currencies</w:t>
            </w:r>
          </w:p>
        </w:tc>
        <w:tc>
          <w:tcPr>
            <w:tcW w:type="dxa" w:w="3855"/>
            <w:tcBorders>
              <w:top w:val="single" w:color="DDE2E7" w:sz="4"/>
              <w:left w:val="single" w:color="DDE2E7" w:sz="4"/>
              <w:bottom w:val="single" w:color="DDE2E7" w:sz="4"/>
              <w:right w:val="single" w:color="DDE2E7" w:sz="4"/>
            </w:tcBorders>
            <w:tcMar>
              <w:top w:type="dxa" w:w="60"/>
              <w:left w:type="dxa" w:w="90"/>
              <w:bottom w:type="dxa" w:w="60"/>
              <w:right w:type="dxa" w:w="90"/>
            </w:tcMar>
            <w:vAlign w:val="top"/>
          </w:tcPr>
          <w:p>
            <w:pPr>
              <w:spacing w:after="0" w:line="252"/>
            </w:pPr>
            <w:r>
              <w:rPr>
                <w:rFonts w:ascii="Calibri" w:cs="Calibri" w:eastAsia="Calibri" w:hAnsi="Calibri"/>
                <w:b w:val="false"/>
                <w:bCs w:val="false"/>
                <w:color w:val="0F1729"/>
                <w:sz w:val="19"/>
                <w:szCs w:val="19"/>
              </w:rPr>
              <w:t xml:space="preserve">Kept and made specific: the June 2026 tariff engine, storage slabs with free days, e-token fees, online collection screen, VAT</w:t>
            </w:r>
          </w:p>
        </w:tc>
        <w:tc>
          <w:tcPr>
            <w:tcW w:type="dxa" w:w="3277"/>
            <w:tcBorders>
              <w:top w:val="single" w:color="DDE2E7" w:sz="4"/>
              <w:left w:val="single" w:color="DDE2E7" w:sz="4"/>
              <w:bottom w:val="single" w:color="DDE2E7" w:sz="4"/>
              <w:right w:val="single" w:color="DDE2E7" w:sz="4"/>
            </w:tcBorders>
            <w:tcMar>
              <w:top w:type="dxa" w:w="60"/>
              <w:left w:type="dxa" w:w="90"/>
              <w:bottom w:type="dxa" w:w="60"/>
              <w:right w:type="dxa" w:w="90"/>
            </w:tcMar>
            <w:vAlign w:val="top"/>
          </w:tcPr>
          <w:p>
            <w:pPr>
              <w:spacing w:after="0" w:line="252"/>
            </w:pPr>
            <w:r>
              <w:rPr>
                <w:rFonts w:ascii="Calibri" w:cs="Calibri" w:eastAsia="Calibri" w:hAnsi="Calibri"/>
                <w:b w:val="false"/>
                <w:bCs w:val="false"/>
                <w:color w:val="0F1729"/>
                <w:sz w:val="19"/>
                <w:szCs w:val="19"/>
              </w:rPr>
              <w:t xml:space="preserve">Billing is where the SRS was vaguest and where Gulftainer’s rules are most precise.</w:t>
            </w:r>
          </w:p>
        </w:tc>
      </w:tr>
      <w:tr>
        <w:trPr>
          <w:cantSplit/>
          <w:tblHeader w:val="off"/>
        </w:trPr>
        <w:tc>
          <w:tcPr>
            <w:tcW w:type="dxa" w:w="2506"/>
            <w:tcBorders>
              <w:top w:val="single" w:color="DDE2E7" w:sz="4"/>
              <w:left w:val="single" w:color="DDE2E7" w:sz="4"/>
              <w:bottom w:val="single" w:color="DDE2E7" w:sz="4"/>
              <w:right w:val="single" w:color="DDE2E7" w:sz="4"/>
            </w:tcBorders>
            <w:tcMar>
              <w:top w:type="dxa" w:w="60"/>
              <w:left w:type="dxa" w:w="90"/>
              <w:bottom w:type="dxa" w:w="60"/>
              <w:right w:type="dxa" w:w="90"/>
            </w:tcMar>
            <w:vAlign w:val="top"/>
          </w:tcPr>
          <w:p>
            <w:pPr>
              <w:spacing w:after="0" w:line="252"/>
            </w:pPr>
            <w:r>
              <w:rPr>
                <w:rFonts w:ascii="Calibri" w:cs="Calibri" w:eastAsia="Calibri" w:hAnsi="Calibri"/>
                <w:b w:val="false"/>
                <w:bCs w:val="false"/>
                <w:color w:val="0F1729"/>
                <w:sz w:val="19"/>
                <w:szCs w:val="19"/>
              </w:rPr>
              <w:t xml:space="preserve">Documents with versions, checksums, retention, access</w:t>
            </w:r>
          </w:p>
        </w:tc>
        <w:tc>
          <w:tcPr>
            <w:tcW w:type="dxa" w:w="3855"/>
            <w:tcBorders>
              <w:top w:val="single" w:color="DDE2E7" w:sz="4"/>
              <w:left w:val="single" w:color="DDE2E7" w:sz="4"/>
              <w:bottom w:val="single" w:color="DDE2E7" w:sz="4"/>
              <w:right w:val="single" w:color="DDE2E7" w:sz="4"/>
            </w:tcBorders>
            <w:tcMar>
              <w:top w:type="dxa" w:w="60"/>
              <w:left w:type="dxa" w:w="90"/>
              <w:bottom w:type="dxa" w:w="60"/>
              <w:right w:type="dxa" w:w="90"/>
            </w:tcMar>
            <w:vAlign w:val="top"/>
          </w:tcPr>
          <w:p>
            <w:pPr>
              <w:spacing w:after="0" w:line="252"/>
            </w:pPr>
            <w:r>
              <w:rPr>
                <w:rFonts w:ascii="Calibri" w:cs="Calibri" w:eastAsia="Calibri" w:hAnsi="Calibri"/>
                <w:b w:val="false"/>
                <w:bCs w:val="false"/>
                <w:color w:val="0F1729"/>
                <w:sz w:val="19"/>
                <w:szCs w:val="19"/>
              </w:rPr>
              <w:t xml:space="preserve">Kept; document types replaced with the terminal set (DO, BL, customs, EIR, bay plan, BAPLIE, DG, VGM, POD)</w:t>
            </w:r>
          </w:p>
        </w:tc>
        <w:tc>
          <w:tcPr>
            <w:tcW w:type="dxa" w:w="3277"/>
            <w:tcBorders>
              <w:top w:val="single" w:color="DDE2E7" w:sz="4"/>
              <w:left w:val="single" w:color="DDE2E7" w:sz="4"/>
              <w:bottom w:val="single" w:color="DDE2E7" w:sz="4"/>
              <w:right w:val="single" w:color="DDE2E7" w:sz="4"/>
            </w:tcBorders>
            <w:tcMar>
              <w:top w:type="dxa" w:w="60"/>
              <w:left w:type="dxa" w:w="90"/>
              <w:bottom w:type="dxa" w:w="60"/>
              <w:right w:type="dxa" w:w="90"/>
            </w:tcMar>
            <w:vAlign w:val="top"/>
          </w:tcPr>
          <w:p>
            <w:pPr>
              <w:spacing w:after="0" w:line="252"/>
            </w:pPr>
            <w:r>
              <w:rPr>
                <w:rFonts w:ascii="Calibri" w:cs="Calibri" w:eastAsia="Calibri" w:hAnsi="Calibri"/>
                <w:b w:val="false"/>
                <w:bCs w:val="false"/>
                <w:color w:val="0F1729"/>
                <w:sz w:val="19"/>
                <w:szCs w:val="19"/>
              </w:rPr>
              <w:t xml:space="preserve">Matches the paperwork named in the advisories and tariff.</w:t>
            </w:r>
          </w:p>
        </w:tc>
      </w:tr>
      <w:tr>
        <w:trPr>
          <w:cantSplit/>
          <w:tblHeader w:val="off"/>
        </w:trPr>
        <w:tc>
          <w:tcPr>
            <w:tcW w:type="dxa" w:w="2506"/>
            <w:tcBorders>
              <w:top w:val="single" w:color="DDE2E7" w:sz="4"/>
              <w:left w:val="single" w:color="DDE2E7" w:sz="4"/>
              <w:bottom w:val="single" w:color="DDE2E7" w:sz="4"/>
              <w:right w:val="single" w:color="DDE2E7" w:sz="4"/>
            </w:tcBorders>
            <w:tcMar>
              <w:top w:type="dxa" w:w="60"/>
              <w:left w:type="dxa" w:w="90"/>
              <w:bottom w:type="dxa" w:w="60"/>
              <w:right w:type="dxa" w:w="90"/>
            </w:tcMar>
            <w:vAlign w:val="top"/>
          </w:tcPr>
          <w:p>
            <w:pPr>
              <w:spacing w:after="0" w:line="252"/>
            </w:pPr>
            <w:r>
              <w:rPr>
                <w:rFonts w:ascii="Calibri" w:cs="Calibri" w:eastAsia="Calibri" w:hAnsi="Calibri"/>
                <w:b w:val="false"/>
                <w:bCs w:val="false"/>
                <w:color w:val="0F1729"/>
                <w:sz w:val="19"/>
                <w:szCs w:val="19"/>
              </w:rPr>
              <w:t xml:space="preserve">Notifications, audit, concurrency, idempotency, offline sync, integrations, reporting, roles</w:t>
            </w:r>
          </w:p>
        </w:tc>
        <w:tc>
          <w:tcPr>
            <w:tcW w:type="dxa" w:w="3855"/>
            <w:tcBorders>
              <w:top w:val="single" w:color="DDE2E7" w:sz="4"/>
              <w:left w:val="single" w:color="DDE2E7" w:sz="4"/>
              <w:bottom w:val="single" w:color="DDE2E7" w:sz="4"/>
              <w:right w:val="single" w:color="DDE2E7" w:sz="4"/>
            </w:tcBorders>
            <w:tcMar>
              <w:top w:type="dxa" w:w="60"/>
              <w:left w:type="dxa" w:w="90"/>
              <w:bottom w:type="dxa" w:w="60"/>
              <w:right w:type="dxa" w:w="90"/>
            </w:tcMar>
            <w:vAlign w:val="top"/>
          </w:tcPr>
          <w:p>
            <w:pPr>
              <w:spacing w:after="0" w:line="252"/>
            </w:pPr>
            <w:r>
              <w:rPr>
                <w:rFonts w:ascii="Calibri" w:cs="Calibri" w:eastAsia="Calibri" w:hAnsi="Calibri"/>
                <w:b w:val="false"/>
                <w:bCs w:val="false"/>
                <w:color w:val="0F1729"/>
                <w:sz w:val="19"/>
                <w:szCs w:val="19"/>
              </w:rPr>
              <w:t xml:space="preserve">Kept and implemented</w:t>
            </w:r>
          </w:p>
        </w:tc>
        <w:tc>
          <w:tcPr>
            <w:tcW w:type="dxa" w:w="3277"/>
            <w:tcBorders>
              <w:top w:val="single" w:color="DDE2E7" w:sz="4"/>
              <w:left w:val="single" w:color="DDE2E7" w:sz="4"/>
              <w:bottom w:val="single" w:color="DDE2E7" w:sz="4"/>
              <w:right w:val="single" w:color="DDE2E7" w:sz="4"/>
            </w:tcBorders>
            <w:tcMar>
              <w:top w:type="dxa" w:w="60"/>
              <w:left w:type="dxa" w:w="90"/>
              <w:bottom w:type="dxa" w:w="60"/>
              <w:right w:type="dxa" w:w="90"/>
            </w:tcMar>
            <w:vAlign w:val="top"/>
          </w:tcPr>
          <w:p>
            <w:pPr>
              <w:spacing w:after="0" w:line="252"/>
            </w:pPr>
            <w:r>
              <w:rPr>
                <w:rFonts w:ascii="Calibri" w:cs="Calibri" w:eastAsia="Calibri" w:hAnsi="Calibri"/>
                <w:b w:val="false"/>
                <w:bCs w:val="false"/>
                <w:color w:val="0F1729"/>
                <w:sz w:val="19"/>
                <w:szCs w:val="19"/>
              </w:rPr>
              <w:t xml:space="preserve">These are platform qualities that apply regardless of domain; the roles were renamed to the terminal and logistics jobs that exist.</w:t>
            </w:r>
          </w:p>
        </w:tc>
      </w:tr>
      <w:tr>
        <w:trPr>
          <w:cantSplit/>
          <w:tblHeader w:val="off"/>
        </w:trPr>
        <w:tc>
          <w:tcPr>
            <w:tcW w:type="dxa" w:w="2506"/>
            <w:tcBorders>
              <w:top w:val="single" w:color="DDE2E7" w:sz="4"/>
              <w:left w:val="single" w:color="DDE2E7" w:sz="4"/>
              <w:bottom w:val="single" w:color="DDE2E7" w:sz="4"/>
              <w:right w:val="single" w:color="DDE2E7" w:sz="4"/>
            </w:tcBorders>
            <w:tcMar>
              <w:top w:type="dxa" w:w="60"/>
              <w:left w:type="dxa" w:w="90"/>
              <w:bottom w:type="dxa" w:w="60"/>
              <w:right w:type="dxa" w:w="90"/>
            </w:tcMar>
            <w:vAlign w:val="top"/>
          </w:tcPr>
          <w:p>
            <w:pPr>
              <w:spacing w:after="0" w:line="252"/>
            </w:pPr>
            <w:r>
              <w:rPr>
                <w:rFonts w:ascii="Calibri" w:cs="Calibri" w:eastAsia="Calibri" w:hAnsi="Calibri"/>
                <w:b w:val="false"/>
                <w:bCs w:val="false"/>
                <w:color w:val="0F1729"/>
                <w:sz w:val="19"/>
                <w:szCs w:val="19"/>
              </w:rPr>
              <w:t xml:space="preserve">Customer-facing surface</w:t>
            </w:r>
          </w:p>
        </w:tc>
        <w:tc>
          <w:tcPr>
            <w:tcW w:type="dxa" w:w="3855"/>
            <w:tcBorders>
              <w:top w:val="single" w:color="DDE2E7" w:sz="4"/>
              <w:left w:val="single" w:color="DDE2E7" w:sz="4"/>
              <w:bottom w:val="single" w:color="DDE2E7" w:sz="4"/>
              <w:right w:val="single" w:color="DDE2E7" w:sz="4"/>
            </w:tcBorders>
            <w:tcMar>
              <w:top w:type="dxa" w:w="60"/>
              <w:left w:type="dxa" w:w="90"/>
              <w:bottom w:type="dxa" w:w="60"/>
              <w:right w:type="dxa" w:w="90"/>
            </w:tcMar>
            <w:vAlign w:val="top"/>
          </w:tcPr>
          <w:p>
            <w:pPr>
              <w:spacing w:after="0" w:line="252"/>
            </w:pPr>
            <w:r>
              <w:rPr>
                <w:rFonts w:ascii="Calibri" w:cs="Calibri" w:eastAsia="Calibri" w:hAnsi="Calibri"/>
                <w:b w:val="false"/>
                <w:bCs w:val="false"/>
                <w:color w:val="0F1729"/>
                <w:sz w:val="19"/>
                <w:szCs w:val="19"/>
              </w:rPr>
              <w:t xml:space="preserve">Added: vessel schedule, container enquiry with storage estimate, e-token portal, online payment</w:t>
            </w:r>
          </w:p>
        </w:tc>
        <w:tc>
          <w:tcPr>
            <w:tcW w:type="dxa" w:w="3277"/>
            <w:tcBorders>
              <w:top w:val="single" w:color="DDE2E7" w:sz="4"/>
              <w:left w:val="single" w:color="DDE2E7" w:sz="4"/>
              <w:bottom w:val="single" w:color="DDE2E7" w:sz="4"/>
              <w:right w:val="single" w:color="DDE2E7" w:sz="4"/>
            </w:tcBorders>
            <w:tcMar>
              <w:top w:type="dxa" w:w="60"/>
              <w:left w:type="dxa" w:w="90"/>
              <w:bottom w:type="dxa" w:w="60"/>
              <w:right w:type="dxa" w:w="90"/>
            </w:tcMar>
            <w:vAlign w:val="top"/>
          </w:tcPr>
          <w:p>
            <w:pPr>
              <w:spacing w:after="0" w:line="252"/>
            </w:pPr>
            <w:r>
              <w:rPr>
                <w:rFonts w:ascii="Calibri" w:cs="Calibri" w:eastAsia="Calibri" w:hAnsi="Calibri"/>
                <w:b w:val="false"/>
                <w:bCs w:val="false"/>
                <w:color w:val="0F1729"/>
                <w:sz w:val="19"/>
                <w:szCs w:val="19"/>
              </w:rPr>
              <w:t xml:space="preserve">Not in the SRS at all, yet it is the part of Gulftainer’s digital estate customers touch every day.</w:t>
            </w:r>
          </w:p>
        </w:tc>
      </w:tr>
    </w:tbl>
    <w:p>
      <w:pPr>
        <w:pStyle w:val="Heading1"/>
        <w:keepNext/>
        <w:spacing w:after="120" w:before="280"/>
      </w:pPr>
      <w:bookmarkStart w:name="_Toc10" w:id="10"/>
      <w:r>
        <w:rPr>
          <w:rFonts w:ascii="Calibri" w:cs="Calibri" w:eastAsia="Calibri" w:hAnsi="Calibri"/>
          <w:b/>
          <w:bCs/>
          <w:color w:val="0F1729"/>
          <w:sz w:val="32"/>
          <w:szCs w:val="32"/>
        </w:rPr>
        <w:t xml:space="preserve">5. Scope of the prototype</w:t>
      </w:r>
      <w:bookmarkEnd w:id="10"/>
    </w:p>
    <w:p>
      <w:pPr>
        <w:keepNext/>
        <w:spacing w:after="40" w:before="60"/>
        <w:jc w:val="center"/>
      </w:pPr>
      <w:r>
        <w:drawing>
          <wp:inline distT="0" distB="0" distL="0" distR="0">
            <wp:extent cx="6124575" cy="2371725"/>
            <wp:effectExtent t="0" r="0" b="0" l="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124575" cy="2371725"/>
                    </a:xfrm>
                    <a:prstGeom prst="rect">
                      <a:avLst/>
                    </a:prstGeom>
                  </pic:spPr>
                </pic:pic>
              </a:graphicData>
            </a:graphic>
          </wp:inline>
        </w:drawing>
      </w:r>
    </w:p>
    <w:p>
      <w:pPr>
        <w:spacing w:after="140"/>
        <w:jc w:val="center"/>
      </w:pPr>
      <w:r>
        <w:rPr>
          <w:rFonts w:ascii="Calibri" w:cs="Calibri" w:eastAsia="Calibri" w:hAnsi="Calibri"/>
          <w:i/>
          <w:iCs/>
          <w:color w:val="8A93A3"/>
          <w:sz w:val="17"/>
          <w:szCs w:val="17"/>
        </w:rPr>
        <w:t xml:space="preserve">Figure 2. System context: users, modules and external systems.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38"/>
        <w:gridCol w:w="2891"/>
        <w:gridCol w:w="5108"/>
      </w:tblGrid>
      <w:tr>
        <w:trPr>
          <w:cantSplit/>
          <w:tblHeader/>
        </w:trPr>
        <w:tc>
          <w:tcPr>
            <w:tcW w:type="dxa" w:w="1638"/>
            <w:tcBorders>
              <w:top w:val="single" w:color="DDE2E7" w:sz="4"/>
              <w:left w:val="single" w:color="DDE2E7" w:sz="4"/>
              <w:bottom w:val="single" w:color="DDE2E7" w:sz="4"/>
              <w:right w:val="single" w:color="DDE2E7" w:sz="4"/>
            </w:tcBorders>
            <w:shd w:fill="F4F6F8" w:color="auto" w:val="clear"/>
            <w:tcMar>
              <w:top w:type="dxa" w:w="60"/>
              <w:left w:type="dxa" w:w="90"/>
              <w:bottom w:type="dxa" w:w="60"/>
              <w:right w:type="dxa" w:w="90"/>
            </w:tcMar>
            <w:vAlign w:val="top"/>
          </w:tcPr>
          <w:p>
            <w:pPr>
              <w:spacing w:after="0" w:line="252"/>
            </w:pPr>
            <w:r>
              <w:rPr>
                <w:rFonts w:ascii="Calibri" w:cs="Calibri" w:eastAsia="Calibri" w:hAnsi="Calibri"/>
                <w:b/>
                <w:bCs/>
                <w:color w:val="5B6576"/>
                <w:sz w:val="19"/>
                <w:szCs w:val="19"/>
              </w:rPr>
              <w:t xml:space="preserve">Module</w:t>
            </w:r>
          </w:p>
        </w:tc>
        <w:tc>
          <w:tcPr>
            <w:tcW w:type="dxa" w:w="2891"/>
            <w:tcBorders>
              <w:top w:val="single" w:color="DDE2E7" w:sz="4"/>
              <w:left w:val="single" w:color="DDE2E7" w:sz="4"/>
              <w:bottom w:val="single" w:color="DDE2E7" w:sz="4"/>
              <w:right w:val="single" w:color="DDE2E7" w:sz="4"/>
            </w:tcBorders>
            <w:shd w:fill="F4F6F8" w:color="auto" w:val="clear"/>
            <w:tcMar>
              <w:top w:type="dxa" w:w="60"/>
              <w:left w:type="dxa" w:w="90"/>
              <w:bottom w:type="dxa" w:w="60"/>
              <w:right w:type="dxa" w:w="90"/>
            </w:tcMar>
            <w:vAlign w:val="top"/>
          </w:tcPr>
          <w:p>
            <w:pPr>
              <w:spacing w:after="0" w:line="252"/>
            </w:pPr>
            <w:r>
              <w:rPr>
                <w:rFonts w:ascii="Calibri" w:cs="Calibri" w:eastAsia="Calibri" w:hAnsi="Calibri"/>
                <w:b/>
                <w:bCs/>
                <w:color w:val="5B6576"/>
                <w:sz w:val="19"/>
                <w:szCs w:val="19"/>
              </w:rPr>
              <w:t xml:space="preserve">Screens</w:t>
            </w:r>
          </w:p>
        </w:tc>
        <w:tc>
          <w:tcPr>
            <w:tcW w:type="dxa" w:w="5108"/>
            <w:tcBorders>
              <w:top w:val="single" w:color="DDE2E7" w:sz="4"/>
              <w:left w:val="single" w:color="DDE2E7" w:sz="4"/>
              <w:bottom w:val="single" w:color="DDE2E7" w:sz="4"/>
              <w:right w:val="single" w:color="DDE2E7" w:sz="4"/>
            </w:tcBorders>
            <w:shd w:fill="F4F6F8" w:color="auto" w:val="clear"/>
            <w:tcMar>
              <w:top w:type="dxa" w:w="60"/>
              <w:left w:type="dxa" w:w="90"/>
              <w:bottom w:type="dxa" w:w="60"/>
              <w:right w:type="dxa" w:w="90"/>
            </w:tcMar>
            <w:vAlign w:val="top"/>
          </w:tcPr>
          <w:p>
            <w:pPr>
              <w:spacing w:after="0" w:line="252"/>
            </w:pPr>
            <w:r>
              <w:rPr>
                <w:rFonts w:ascii="Calibri" w:cs="Calibri" w:eastAsia="Calibri" w:hAnsi="Calibri"/>
                <w:b/>
                <w:bCs/>
                <w:color w:val="5B6576"/>
                <w:sz w:val="19"/>
                <w:szCs w:val="19"/>
              </w:rPr>
              <w:t xml:space="preserve">What it does</w:t>
            </w:r>
          </w:p>
        </w:tc>
      </w:tr>
      <w:tr>
        <w:trPr>
          <w:cantSplit/>
          <w:tblHeader w:val="off"/>
        </w:trPr>
        <w:tc>
          <w:tcPr>
            <w:tcW w:type="dxa" w:w="1638"/>
            <w:tcBorders>
              <w:top w:val="single" w:color="DDE2E7" w:sz="4"/>
              <w:left w:val="single" w:color="DDE2E7" w:sz="4"/>
              <w:bottom w:val="single" w:color="DDE2E7" w:sz="4"/>
              <w:right w:val="single" w:color="DDE2E7" w:sz="4"/>
            </w:tcBorders>
            <w:tcMar>
              <w:top w:type="dxa" w:w="60"/>
              <w:left w:type="dxa" w:w="90"/>
              <w:bottom w:type="dxa" w:w="60"/>
              <w:right w:type="dxa" w:w="90"/>
            </w:tcMar>
            <w:vAlign w:val="top"/>
          </w:tcPr>
          <w:p>
            <w:pPr>
              <w:spacing w:after="0" w:line="252"/>
            </w:pPr>
            <w:r>
              <w:rPr>
                <w:rFonts w:ascii="Calibri" w:cs="Calibri" w:eastAsia="Calibri" w:hAnsi="Calibri"/>
                <w:b w:val="false"/>
                <w:bCs w:val="false"/>
                <w:color w:val="0F1729"/>
                <w:sz w:val="19"/>
                <w:szCs w:val="19"/>
              </w:rPr>
              <w:t xml:space="preserve">Dashboard</w:t>
            </w:r>
          </w:p>
        </w:tc>
        <w:tc>
          <w:tcPr>
            <w:tcW w:type="dxa" w:w="2891"/>
            <w:tcBorders>
              <w:top w:val="single" w:color="DDE2E7" w:sz="4"/>
              <w:left w:val="single" w:color="DDE2E7" w:sz="4"/>
              <w:bottom w:val="single" w:color="DDE2E7" w:sz="4"/>
              <w:right w:val="single" w:color="DDE2E7" w:sz="4"/>
            </w:tcBorders>
            <w:tcMar>
              <w:top w:type="dxa" w:w="60"/>
              <w:left w:type="dxa" w:w="90"/>
              <w:bottom w:type="dxa" w:w="60"/>
              <w:right w:type="dxa" w:w="90"/>
            </w:tcMar>
            <w:vAlign w:val="top"/>
          </w:tcPr>
          <w:p>
            <w:pPr>
              <w:spacing w:after="0" w:line="252"/>
            </w:pPr>
            <w:r>
              <w:rPr>
                <w:rFonts w:ascii="Calibri" w:cs="Calibri" w:eastAsia="Calibri" w:hAnsi="Calibri"/>
                <w:b w:val="false"/>
                <w:bCs w:val="false"/>
                <w:color w:val="0F1729"/>
                <w:sz w:val="19"/>
                <w:szCs w:val="19"/>
              </w:rPr>
              <w:t xml:space="preserve">Overview</w:t>
            </w:r>
          </w:p>
        </w:tc>
        <w:tc>
          <w:tcPr>
            <w:tcW w:type="dxa" w:w="5108"/>
            <w:tcBorders>
              <w:top w:val="single" w:color="DDE2E7" w:sz="4"/>
              <w:left w:val="single" w:color="DDE2E7" w:sz="4"/>
              <w:bottom w:val="single" w:color="DDE2E7" w:sz="4"/>
              <w:right w:val="single" w:color="DDE2E7" w:sz="4"/>
            </w:tcBorders>
            <w:tcMar>
              <w:top w:type="dxa" w:w="60"/>
              <w:left w:type="dxa" w:w="90"/>
              <w:bottom w:type="dxa" w:w="60"/>
              <w:right w:type="dxa" w:w="90"/>
            </w:tcMar>
            <w:vAlign w:val="top"/>
          </w:tcPr>
          <w:p>
            <w:pPr>
              <w:spacing w:after="0" w:line="252"/>
            </w:pPr>
            <w:r>
              <w:rPr>
                <w:rFonts w:ascii="Calibri" w:cs="Calibri" w:eastAsia="Calibri" w:hAnsi="Calibri"/>
                <w:b w:val="false"/>
                <w:bCs w:val="false"/>
                <w:color w:val="0F1729"/>
                <w:sz w:val="19"/>
                <w:szCs w:val="19"/>
              </w:rPr>
              <w:t xml:space="preserve">Attention list, vessel programme, yard utilisation, logistics position, recent activity.</w:t>
            </w:r>
          </w:p>
        </w:tc>
      </w:tr>
      <w:tr>
        <w:trPr>
          <w:cantSplit/>
          <w:tblHeader w:val="off"/>
        </w:trPr>
        <w:tc>
          <w:tcPr>
            <w:tcW w:type="dxa" w:w="1638"/>
            <w:tcBorders>
              <w:top w:val="single" w:color="DDE2E7" w:sz="4"/>
              <w:left w:val="single" w:color="DDE2E7" w:sz="4"/>
              <w:bottom w:val="single" w:color="DDE2E7" w:sz="4"/>
              <w:right w:val="single" w:color="DDE2E7" w:sz="4"/>
            </w:tcBorders>
            <w:tcMar>
              <w:top w:type="dxa" w:w="60"/>
              <w:left w:type="dxa" w:w="90"/>
              <w:bottom w:type="dxa" w:w="60"/>
              <w:right w:type="dxa" w:w="90"/>
            </w:tcMar>
            <w:vAlign w:val="top"/>
          </w:tcPr>
          <w:p>
            <w:pPr>
              <w:spacing w:after="0" w:line="252"/>
            </w:pPr>
            <w:r>
              <w:rPr>
                <w:rFonts w:ascii="Calibri" w:cs="Calibri" w:eastAsia="Calibri" w:hAnsi="Calibri"/>
                <w:b w:val="false"/>
                <w:bCs w:val="false"/>
                <w:color w:val="0F1729"/>
                <w:sz w:val="19"/>
                <w:szCs w:val="19"/>
              </w:rPr>
              <w:t xml:space="preserve">Terminal</w:t>
            </w:r>
          </w:p>
        </w:tc>
        <w:tc>
          <w:tcPr>
            <w:tcW w:type="dxa" w:w="2891"/>
            <w:tcBorders>
              <w:top w:val="single" w:color="DDE2E7" w:sz="4"/>
              <w:left w:val="single" w:color="DDE2E7" w:sz="4"/>
              <w:bottom w:val="single" w:color="DDE2E7" w:sz="4"/>
              <w:right w:val="single" w:color="DDE2E7" w:sz="4"/>
            </w:tcBorders>
            <w:tcMar>
              <w:top w:type="dxa" w:w="60"/>
              <w:left w:type="dxa" w:w="90"/>
              <w:bottom w:type="dxa" w:w="60"/>
              <w:right w:type="dxa" w:w="90"/>
            </w:tcMar>
            <w:vAlign w:val="top"/>
          </w:tcPr>
          <w:p>
            <w:pPr>
              <w:spacing w:after="0" w:line="252"/>
            </w:pPr>
            <w:r>
              <w:rPr>
                <w:rFonts w:ascii="Calibri" w:cs="Calibri" w:eastAsia="Calibri" w:hAnsi="Calibri"/>
                <w:b w:val="false"/>
                <w:bCs w:val="false"/>
                <w:color w:val="0F1729"/>
                <w:sz w:val="19"/>
                <w:szCs w:val="19"/>
              </w:rPr>
              <w:t xml:space="preserve">Vessel calls, vessel call record, containers, container record, register container</w:t>
            </w:r>
          </w:p>
        </w:tc>
        <w:tc>
          <w:tcPr>
            <w:tcW w:type="dxa" w:w="5108"/>
            <w:tcBorders>
              <w:top w:val="single" w:color="DDE2E7" w:sz="4"/>
              <w:left w:val="single" w:color="DDE2E7" w:sz="4"/>
              <w:bottom w:val="single" w:color="DDE2E7" w:sz="4"/>
              <w:right w:val="single" w:color="DDE2E7" w:sz="4"/>
            </w:tcBorders>
            <w:tcMar>
              <w:top w:type="dxa" w:w="60"/>
              <w:left w:type="dxa" w:w="90"/>
              <w:bottom w:type="dxa" w:w="60"/>
              <w:right w:type="dxa" w:w="90"/>
            </w:tcMar>
            <w:vAlign w:val="top"/>
          </w:tcPr>
          <w:p>
            <w:pPr>
              <w:spacing w:after="0" w:line="252"/>
            </w:pPr>
            <w:r>
              <w:rPr>
                <w:rFonts w:ascii="Calibri" w:cs="Calibri" w:eastAsia="Calibri" w:hAnsi="Calibri"/>
                <w:b w:val="false"/>
                <w:bCs w:val="false"/>
                <w:color w:val="0F1729"/>
                <w:sz w:val="19"/>
                <w:szCs w:val="19"/>
              </w:rPr>
              <w:t xml:space="preserve">Pre-arrival documents, berth to departure, discharge and load worklists, clearance checklist, holds, customs, delivery orders, online collection, haulier and e-token, yard shifts, VGM, reefer checks, history.</w:t>
            </w:r>
          </w:p>
        </w:tc>
      </w:tr>
      <w:tr>
        <w:trPr>
          <w:cantSplit/>
          <w:tblHeader w:val="off"/>
        </w:trPr>
        <w:tc>
          <w:tcPr>
            <w:tcW w:type="dxa" w:w="1638"/>
            <w:tcBorders>
              <w:top w:val="single" w:color="DDE2E7" w:sz="4"/>
              <w:left w:val="single" w:color="DDE2E7" w:sz="4"/>
              <w:bottom w:val="single" w:color="DDE2E7" w:sz="4"/>
              <w:right w:val="single" w:color="DDE2E7" w:sz="4"/>
            </w:tcBorders>
            <w:tcMar>
              <w:top w:type="dxa" w:w="60"/>
              <w:left w:type="dxa" w:w="90"/>
              <w:bottom w:type="dxa" w:w="60"/>
              <w:right w:type="dxa" w:w="90"/>
            </w:tcMar>
            <w:vAlign w:val="top"/>
          </w:tcPr>
          <w:p>
            <w:pPr>
              <w:spacing w:after="0" w:line="252"/>
            </w:pPr>
            <w:r>
              <w:rPr>
                <w:rFonts w:ascii="Calibri" w:cs="Calibri" w:eastAsia="Calibri" w:hAnsi="Calibri"/>
                <w:b w:val="false"/>
                <w:bCs w:val="false"/>
                <w:color w:val="0F1729"/>
                <w:sz w:val="19"/>
                <w:szCs w:val="19"/>
              </w:rPr>
              <w:t xml:space="preserve">Gate and e-tokens</w:t>
            </w:r>
          </w:p>
        </w:tc>
        <w:tc>
          <w:tcPr>
            <w:tcW w:type="dxa" w:w="2891"/>
            <w:tcBorders>
              <w:top w:val="single" w:color="DDE2E7" w:sz="4"/>
              <w:left w:val="single" w:color="DDE2E7" w:sz="4"/>
              <w:bottom w:val="single" w:color="DDE2E7" w:sz="4"/>
              <w:right w:val="single" w:color="DDE2E7" w:sz="4"/>
            </w:tcBorders>
            <w:tcMar>
              <w:top w:type="dxa" w:w="60"/>
              <w:left w:type="dxa" w:w="90"/>
              <w:bottom w:type="dxa" w:w="60"/>
              <w:right w:type="dxa" w:w="90"/>
            </w:tcMar>
            <w:vAlign w:val="top"/>
          </w:tcPr>
          <w:p>
            <w:pPr>
              <w:spacing w:after="0" w:line="252"/>
            </w:pPr>
            <w:r>
              <w:rPr>
                <w:rFonts w:ascii="Calibri" w:cs="Calibri" w:eastAsia="Calibri" w:hAnsi="Calibri"/>
                <w:b w:val="false"/>
                <w:bCs w:val="false"/>
                <w:color w:val="0F1729"/>
                <w:sz w:val="19"/>
                <w:szCs w:val="19"/>
              </w:rPr>
              <w:t xml:space="preserve">Gate</w:t>
            </w:r>
          </w:p>
        </w:tc>
        <w:tc>
          <w:tcPr>
            <w:tcW w:type="dxa" w:w="5108"/>
            <w:tcBorders>
              <w:top w:val="single" w:color="DDE2E7" w:sz="4"/>
              <w:left w:val="single" w:color="DDE2E7" w:sz="4"/>
              <w:bottom w:val="single" w:color="DDE2E7" w:sz="4"/>
              <w:right w:val="single" w:color="DDE2E7" w:sz="4"/>
            </w:tcBorders>
            <w:tcMar>
              <w:top w:type="dxa" w:w="60"/>
              <w:left w:type="dxa" w:w="90"/>
              <w:bottom w:type="dxa" w:w="60"/>
              <w:right w:type="dxa" w:w="90"/>
            </w:tcMar>
            <w:vAlign w:val="top"/>
          </w:tcPr>
          <w:p>
            <w:pPr>
              <w:spacing w:after="0" w:line="252"/>
            </w:pPr>
            <w:r>
              <w:rPr>
                <w:rFonts w:ascii="Calibri" w:cs="Calibri" w:eastAsia="Calibri" w:hAnsi="Calibri"/>
                <w:b w:val="false"/>
                <w:bCs w:val="false"/>
                <w:color w:val="0F1729"/>
                <w:sz w:val="19"/>
                <w:szCs w:val="19"/>
              </w:rPr>
              <w:t xml:space="preserve">Appointments by location, marshalling yard arrival, gate-in and gate-out with EIR, EIR register, all tokens, offline mode.</w:t>
            </w:r>
          </w:p>
        </w:tc>
      </w:tr>
      <w:tr>
        <w:trPr>
          <w:cantSplit/>
          <w:tblHeader w:val="off"/>
        </w:trPr>
        <w:tc>
          <w:tcPr>
            <w:tcW w:type="dxa" w:w="1638"/>
            <w:tcBorders>
              <w:top w:val="single" w:color="DDE2E7" w:sz="4"/>
              <w:left w:val="single" w:color="DDE2E7" w:sz="4"/>
              <w:bottom w:val="single" w:color="DDE2E7" w:sz="4"/>
              <w:right w:val="single" w:color="DDE2E7" w:sz="4"/>
            </w:tcBorders>
            <w:tcMar>
              <w:top w:type="dxa" w:w="60"/>
              <w:left w:type="dxa" w:w="90"/>
              <w:bottom w:type="dxa" w:w="60"/>
              <w:right w:type="dxa" w:w="90"/>
            </w:tcMar>
            <w:vAlign w:val="top"/>
          </w:tcPr>
          <w:p>
            <w:pPr>
              <w:spacing w:after="0" w:line="252"/>
            </w:pPr>
            <w:r>
              <w:rPr>
                <w:rFonts w:ascii="Calibri" w:cs="Calibri" w:eastAsia="Calibri" w:hAnsi="Calibri"/>
                <w:b w:val="false"/>
                <w:bCs w:val="false"/>
                <w:color w:val="0F1729"/>
                <w:sz w:val="19"/>
                <w:szCs w:val="19"/>
              </w:rPr>
              <w:t xml:space="preserve">Inland logistics</w:t>
            </w:r>
          </w:p>
        </w:tc>
        <w:tc>
          <w:tcPr>
            <w:tcW w:type="dxa" w:w="2891"/>
            <w:tcBorders>
              <w:top w:val="single" w:color="DDE2E7" w:sz="4"/>
              <w:left w:val="single" w:color="DDE2E7" w:sz="4"/>
              <w:bottom w:val="single" w:color="DDE2E7" w:sz="4"/>
              <w:right w:val="single" w:color="DDE2E7" w:sz="4"/>
            </w:tcBorders>
            <w:tcMar>
              <w:top w:type="dxa" w:w="60"/>
              <w:left w:type="dxa" w:w="90"/>
              <w:bottom w:type="dxa" w:w="60"/>
              <w:right w:type="dxa" w:w="90"/>
            </w:tcMar>
            <w:vAlign w:val="top"/>
          </w:tcPr>
          <w:p>
            <w:pPr>
              <w:spacing w:after="0" w:line="252"/>
            </w:pPr>
            <w:r>
              <w:rPr>
                <w:rFonts w:ascii="Calibri" w:cs="Calibri" w:eastAsia="Calibri" w:hAnsi="Calibri"/>
                <w:b w:val="false"/>
                <w:bCs w:val="false"/>
                <w:color w:val="0F1729"/>
                <w:sz w:val="19"/>
                <w:szCs w:val="19"/>
              </w:rPr>
              <w:t xml:space="preserve">Inland transfers, transport jobs</w:t>
            </w:r>
          </w:p>
        </w:tc>
        <w:tc>
          <w:tcPr>
            <w:tcW w:type="dxa" w:w="5108"/>
            <w:tcBorders>
              <w:top w:val="single" w:color="DDE2E7" w:sz="4"/>
              <w:left w:val="single" w:color="DDE2E7" w:sz="4"/>
              <w:bottom w:val="single" w:color="DDE2E7" w:sz="4"/>
              <w:right w:val="single" w:color="DDE2E7" w:sz="4"/>
            </w:tcBorders>
            <w:tcMar>
              <w:top w:type="dxa" w:w="60"/>
              <w:left w:type="dxa" w:w="90"/>
              <w:bottom w:type="dxa" w:w="60"/>
              <w:right w:type="dxa" w:w="90"/>
            </w:tcMar>
            <w:vAlign w:val="top"/>
          </w:tcPr>
          <w:p>
            <w:pPr>
              <w:spacing w:after="0" w:line="252"/>
            </w:pPr>
            <w:r>
              <w:rPr>
                <w:rFonts w:ascii="Calibri" w:cs="Calibri" w:eastAsia="Calibri" w:hAnsi="Calibri"/>
                <w:b w:val="false"/>
                <w:bCs w:val="false"/>
                <w:color w:val="0F1729"/>
                <w:sz w:val="19"/>
                <w:szCs w:val="19"/>
              </w:rPr>
              <w:t xml:space="preserve">Uncollected containers, transfers to SICD and Sajaa, Momentum fleet dispatch with proof of delivery and delays.</w:t>
            </w:r>
          </w:p>
        </w:tc>
      </w:tr>
      <w:tr>
        <w:trPr>
          <w:cantSplit/>
          <w:tblHeader w:val="off"/>
        </w:trPr>
        <w:tc>
          <w:tcPr>
            <w:tcW w:type="dxa" w:w="1638"/>
            <w:tcBorders>
              <w:top w:val="single" w:color="DDE2E7" w:sz="4"/>
              <w:left w:val="single" w:color="DDE2E7" w:sz="4"/>
              <w:bottom w:val="single" w:color="DDE2E7" w:sz="4"/>
              <w:right w:val="single" w:color="DDE2E7" w:sz="4"/>
            </w:tcBorders>
            <w:tcMar>
              <w:top w:type="dxa" w:w="60"/>
              <w:left w:type="dxa" w:w="90"/>
              <w:bottom w:type="dxa" w:w="60"/>
              <w:right w:type="dxa" w:w="90"/>
            </w:tcMar>
            <w:vAlign w:val="top"/>
          </w:tcPr>
          <w:p>
            <w:pPr>
              <w:spacing w:after="0" w:line="252"/>
            </w:pPr>
            <w:r>
              <w:rPr>
                <w:rFonts w:ascii="Calibri" w:cs="Calibri" w:eastAsia="Calibri" w:hAnsi="Calibri"/>
                <w:b w:val="false"/>
                <w:bCs w:val="false"/>
                <w:color w:val="0F1729"/>
                <w:sz w:val="19"/>
                <w:szCs w:val="19"/>
              </w:rPr>
              <w:t xml:space="preserve">Warehousing</w:t>
            </w:r>
          </w:p>
        </w:tc>
        <w:tc>
          <w:tcPr>
            <w:tcW w:type="dxa" w:w="2891"/>
            <w:tcBorders>
              <w:top w:val="single" w:color="DDE2E7" w:sz="4"/>
              <w:left w:val="single" w:color="DDE2E7" w:sz="4"/>
              <w:bottom w:val="single" w:color="DDE2E7" w:sz="4"/>
              <w:right w:val="single" w:color="DDE2E7" w:sz="4"/>
            </w:tcBorders>
            <w:tcMar>
              <w:top w:type="dxa" w:w="60"/>
              <w:left w:type="dxa" w:w="90"/>
              <w:bottom w:type="dxa" w:w="60"/>
              <w:right w:type="dxa" w:w="90"/>
            </w:tcMar>
            <w:vAlign w:val="top"/>
          </w:tcPr>
          <w:p>
            <w:pPr>
              <w:spacing w:after="0" w:line="252"/>
            </w:pPr>
            <w:r>
              <w:rPr>
                <w:rFonts w:ascii="Calibri" w:cs="Calibri" w:eastAsia="Calibri" w:hAnsi="Calibri"/>
                <w:b w:val="false"/>
                <w:bCs w:val="false"/>
                <w:color w:val="0F1729"/>
                <w:sz w:val="19"/>
                <w:szCs w:val="19"/>
              </w:rPr>
              <w:t xml:space="preserve">Warehouse orders, inventory (balances, ledger, adjustments, SKUs), tasks</w:t>
            </w:r>
          </w:p>
        </w:tc>
        <w:tc>
          <w:tcPr>
            <w:tcW w:type="dxa" w:w="5108"/>
            <w:tcBorders>
              <w:top w:val="single" w:color="DDE2E7" w:sz="4"/>
              <w:left w:val="single" w:color="DDE2E7" w:sz="4"/>
              <w:bottom w:val="single" w:color="DDE2E7" w:sz="4"/>
              <w:right w:val="single" w:color="DDE2E7" w:sz="4"/>
            </w:tcBorders>
            <w:tcMar>
              <w:top w:type="dxa" w:w="60"/>
              <w:left w:type="dxa" w:w="90"/>
              <w:bottom w:type="dxa" w:w="60"/>
              <w:right w:type="dxa" w:w="90"/>
            </w:tcMar>
            <w:vAlign w:val="top"/>
          </w:tcPr>
          <w:p>
            <w:pPr>
              <w:spacing w:after="0" w:line="252"/>
            </w:pPr>
            <w:r>
              <w:rPr>
                <w:rFonts w:ascii="Calibri" w:cs="Calibri" w:eastAsia="Calibri" w:hAnsi="Calibri"/>
                <w:b w:val="false"/>
                <w:bCs w:val="false"/>
                <w:color w:val="0F1729"/>
                <w:sz w:val="19"/>
                <w:szCs w:val="19"/>
              </w:rPr>
              <w:t xml:space="preserve">Inbound receipt with discrepancies, allocation, picking, stock transfers and holds, adjustments with second-person approval, reversals, shift tasks.</w:t>
            </w:r>
          </w:p>
        </w:tc>
      </w:tr>
      <w:tr>
        <w:trPr>
          <w:cantSplit/>
          <w:tblHeader w:val="off"/>
        </w:trPr>
        <w:tc>
          <w:tcPr>
            <w:tcW w:type="dxa" w:w="1638"/>
            <w:tcBorders>
              <w:top w:val="single" w:color="DDE2E7" w:sz="4"/>
              <w:left w:val="single" w:color="DDE2E7" w:sz="4"/>
              <w:bottom w:val="single" w:color="DDE2E7" w:sz="4"/>
              <w:right w:val="single" w:color="DDE2E7" w:sz="4"/>
            </w:tcBorders>
            <w:tcMar>
              <w:top w:type="dxa" w:w="60"/>
              <w:left w:type="dxa" w:w="90"/>
              <w:bottom w:type="dxa" w:w="60"/>
              <w:right w:type="dxa" w:w="90"/>
            </w:tcMar>
            <w:vAlign w:val="top"/>
          </w:tcPr>
          <w:p>
            <w:pPr>
              <w:spacing w:after="0" w:line="252"/>
            </w:pPr>
            <w:r>
              <w:rPr>
                <w:rFonts w:ascii="Calibri" w:cs="Calibri" w:eastAsia="Calibri" w:hAnsi="Calibri"/>
                <w:b w:val="false"/>
                <w:bCs w:val="false"/>
                <w:color w:val="0F1729"/>
                <w:sz w:val="19"/>
                <w:szCs w:val="19"/>
              </w:rPr>
              <w:t xml:space="preserve">Customers and documents</w:t>
            </w:r>
          </w:p>
        </w:tc>
        <w:tc>
          <w:tcPr>
            <w:tcW w:type="dxa" w:w="2891"/>
            <w:tcBorders>
              <w:top w:val="single" w:color="DDE2E7" w:sz="4"/>
              <w:left w:val="single" w:color="DDE2E7" w:sz="4"/>
              <w:bottom w:val="single" w:color="DDE2E7" w:sz="4"/>
              <w:right w:val="single" w:color="DDE2E7" w:sz="4"/>
            </w:tcBorders>
            <w:tcMar>
              <w:top w:type="dxa" w:w="60"/>
              <w:left w:type="dxa" w:w="90"/>
              <w:bottom w:type="dxa" w:w="60"/>
              <w:right w:type="dxa" w:w="90"/>
            </w:tcMar>
            <w:vAlign w:val="top"/>
          </w:tcPr>
          <w:p>
            <w:pPr>
              <w:spacing w:after="0" w:line="252"/>
            </w:pPr>
            <w:r>
              <w:rPr>
                <w:rFonts w:ascii="Calibri" w:cs="Calibri" w:eastAsia="Calibri" w:hAnsi="Calibri"/>
                <w:b w:val="false"/>
                <w:bCs w:val="false"/>
                <w:color w:val="0F1729"/>
                <w:sz w:val="19"/>
                <w:szCs w:val="19"/>
              </w:rPr>
              <w:t xml:space="preserve">Customers and parties, documents</w:t>
            </w:r>
          </w:p>
        </w:tc>
        <w:tc>
          <w:tcPr>
            <w:tcW w:type="dxa" w:w="5108"/>
            <w:tcBorders>
              <w:top w:val="single" w:color="DDE2E7" w:sz="4"/>
              <w:left w:val="single" w:color="DDE2E7" w:sz="4"/>
              <w:bottom w:val="single" w:color="DDE2E7" w:sz="4"/>
              <w:right w:val="single" w:color="DDE2E7" w:sz="4"/>
            </w:tcBorders>
            <w:tcMar>
              <w:top w:type="dxa" w:w="60"/>
              <w:left w:type="dxa" w:w="90"/>
              <w:bottom w:type="dxa" w:w="60"/>
              <w:right w:type="dxa" w:w="90"/>
            </w:tcMar>
            <w:vAlign w:val="top"/>
          </w:tcPr>
          <w:p>
            <w:pPr>
              <w:spacing w:after="0" w:line="252"/>
            </w:pPr>
            <w:r>
              <w:rPr>
                <w:rFonts w:ascii="Calibri" w:cs="Calibri" w:eastAsia="Calibri" w:hAnsi="Calibri"/>
                <w:b w:val="false"/>
                <w:bCs w:val="false"/>
                <w:color w:val="0F1729"/>
                <w:sz w:val="19"/>
                <w:szCs w:val="19"/>
              </w:rPr>
              <w:t xml:space="preserve">Lines, consignees, agents, hauliers, contract customers; portal registration; versioned document register with SHA-256 checksums and role access.</w:t>
            </w:r>
          </w:p>
        </w:tc>
      </w:tr>
      <w:tr>
        <w:trPr>
          <w:cantSplit/>
          <w:tblHeader w:val="off"/>
        </w:trPr>
        <w:tc>
          <w:tcPr>
            <w:tcW w:type="dxa" w:w="1638"/>
            <w:tcBorders>
              <w:top w:val="single" w:color="DDE2E7" w:sz="4"/>
              <w:left w:val="single" w:color="DDE2E7" w:sz="4"/>
              <w:bottom w:val="single" w:color="DDE2E7" w:sz="4"/>
              <w:right w:val="single" w:color="DDE2E7" w:sz="4"/>
            </w:tcBorders>
            <w:tcMar>
              <w:top w:type="dxa" w:w="60"/>
              <w:left w:type="dxa" w:w="90"/>
              <w:bottom w:type="dxa" w:w="60"/>
              <w:right w:type="dxa" w:w="90"/>
            </w:tcMar>
            <w:vAlign w:val="top"/>
          </w:tcPr>
          <w:p>
            <w:pPr>
              <w:spacing w:after="0" w:line="252"/>
            </w:pPr>
            <w:r>
              <w:rPr>
                <w:rFonts w:ascii="Calibri" w:cs="Calibri" w:eastAsia="Calibri" w:hAnsi="Calibri"/>
                <w:b w:val="false"/>
                <w:bCs w:val="false"/>
                <w:color w:val="0F1729"/>
                <w:sz w:val="19"/>
                <w:szCs w:val="19"/>
              </w:rPr>
              <w:t xml:space="preserve">Finance</w:t>
            </w:r>
          </w:p>
        </w:tc>
        <w:tc>
          <w:tcPr>
            <w:tcW w:type="dxa" w:w="2891"/>
            <w:tcBorders>
              <w:top w:val="single" w:color="DDE2E7" w:sz="4"/>
              <w:left w:val="single" w:color="DDE2E7" w:sz="4"/>
              <w:bottom w:val="single" w:color="DDE2E7" w:sz="4"/>
              <w:right w:val="single" w:color="DDE2E7" w:sz="4"/>
            </w:tcBorders>
            <w:tcMar>
              <w:top w:type="dxa" w:w="60"/>
              <w:left w:type="dxa" w:w="90"/>
              <w:bottom w:type="dxa" w:w="60"/>
              <w:right w:type="dxa" w:w="90"/>
            </w:tcMar>
            <w:vAlign w:val="top"/>
          </w:tcPr>
          <w:p>
            <w:pPr>
              <w:spacing w:after="0" w:line="252"/>
            </w:pPr>
            <w:r>
              <w:rPr>
                <w:rFonts w:ascii="Calibri" w:cs="Calibri" w:eastAsia="Calibri" w:hAnsi="Calibri"/>
                <w:b w:val="false"/>
                <w:bCs w:val="false"/>
                <w:color w:val="0F1729"/>
                <w:sz w:val="19"/>
                <w:szCs w:val="19"/>
              </w:rPr>
              <w:t xml:space="preserve">Charges and invoices, invoice record, tariff</w:t>
            </w:r>
          </w:p>
        </w:tc>
        <w:tc>
          <w:tcPr>
            <w:tcW w:type="dxa" w:w="5108"/>
            <w:tcBorders>
              <w:top w:val="single" w:color="DDE2E7" w:sz="4"/>
              <w:left w:val="single" w:color="DDE2E7" w:sz="4"/>
              <w:bottom w:val="single" w:color="DDE2E7" w:sz="4"/>
              <w:right w:val="single" w:color="DDE2E7" w:sz="4"/>
            </w:tcBorders>
            <w:tcMar>
              <w:top w:type="dxa" w:w="60"/>
              <w:left w:type="dxa" w:w="90"/>
              <w:bottom w:type="dxa" w:w="60"/>
              <w:right w:type="dxa" w:w="90"/>
            </w:tcMar>
            <w:vAlign w:val="top"/>
          </w:tcPr>
          <w:p>
            <w:pPr>
              <w:spacing w:after="0" w:line="252"/>
            </w:pPr>
            <w:r>
              <w:rPr>
                <w:rFonts w:ascii="Calibri" w:cs="Calibri" w:eastAsia="Calibri" w:hAnsi="Calibri"/>
                <w:b w:val="false"/>
                <w:bCs w:val="false"/>
                <w:color w:val="0F1729"/>
                <w:sz w:val="19"/>
                <w:szCs w:val="19"/>
              </w:rPr>
              <w:t xml:space="preserve">Automatic tariff charges, invoicing with VAT, online card and bank payments, overdue tracking, editable tariff with audit.</w:t>
            </w:r>
          </w:p>
        </w:tc>
      </w:tr>
      <w:tr>
        <w:trPr>
          <w:cantSplit/>
          <w:tblHeader w:val="off"/>
        </w:trPr>
        <w:tc>
          <w:tcPr>
            <w:tcW w:type="dxa" w:w="1638"/>
            <w:tcBorders>
              <w:top w:val="single" w:color="DDE2E7" w:sz="4"/>
              <w:left w:val="single" w:color="DDE2E7" w:sz="4"/>
              <w:bottom w:val="single" w:color="DDE2E7" w:sz="4"/>
              <w:right w:val="single" w:color="DDE2E7" w:sz="4"/>
            </w:tcBorders>
            <w:tcMar>
              <w:top w:type="dxa" w:w="60"/>
              <w:left w:type="dxa" w:w="90"/>
              <w:bottom w:type="dxa" w:w="60"/>
              <w:right w:type="dxa" w:w="90"/>
            </w:tcMar>
            <w:vAlign w:val="top"/>
          </w:tcPr>
          <w:p>
            <w:pPr>
              <w:spacing w:after="0" w:line="252"/>
            </w:pPr>
            <w:r>
              <w:rPr>
                <w:rFonts w:ascii="Calibri" w:cs="Calibri" w:eastAsia="Calibri" w:hAnsi="Calibri"/>
                <w:b w:val="false"/>
                <w:bCs w:val="false"/>
                <w:color w:val="0F1729"/>
                <w:sz w:val="19"/>
                <w:szCs w:val="19"/>
              </w:rPr>
              <w:t xml:space="preserve">Control</w:t>
            </w:r>
          </w:p>
        </w:tc>
        <w:tc>
          <w:tcPr>
            <w:tcW w:type="dxa" w:w="2891"/>
            <w:tcBorders>
              <w:top w:val="single" w:color="DDE2E7" w:sz="4"/>
              <w:left w:val="single" w:color="DDE2E7" w:sz="4"/>
              <w:bottom w:val="single" w:color="DDE2E7" w:sz="4"/>
              <w:right w:val="single" w:color="DDE2E7" w:sz="4"/>
            </w:tcBorders>
            <w:tcMar>
              <w:top w:type="dxa" w:w="60"/>
              <w:left w:type="dxa" w:w="90"/>
              <w:bottom w:type="dxa" w:w="60"/>
              <w:right w:type="dxa" w:w="90"/>
            </w:tcMar>
            <w:vAlign w:val="top"/>
          </w:tcPr>
          <w:p>
            <w:pPr>
              <w:spacing w:after="0" w:line="252"/>
            </w:pPr>
            <w:r>
              <w:rPr>
                <w:rFonts w:ascii="Calibri" w:cs="Calibri" w:eastAsia="Calibri" w:hAnsi="Calibri"/>
                <w:b w:val="false"/>
                <w:bCs w:val="false"/>
                <w:color w:val="0F1729"/>
                <w:sz w:val="19"/>
                <w:szCs w:val="19"/>
              </w:rPr>
              <w:t xml:space="preserve">Notifications, reports, audit log, sync and integrations</w:t>
            </w:r>
          </w:p>
        </w:tc>
        <w:tc>
          <w:tcPr>
            <w:tcW w:type="dxa" w:w="5108"/>
            <w:tcBorders>
              <w:top w:val="single" w:color="DDE2E7" w:sz="4"/>
              <w:left w:val="single" w:color="DDE2E7" w:sz="4"/>
              <w:bottom w:val="single" w:color="DDE2E7" w:sz="4"/>
              <w:right w:val="single" w:color="DDE2E7" w:sz="4"/>
            </w:tcBorders>
            <w:tcMar>
              <w:top w:type="dxa" w:w="60"/>
              <w:left w:type="dxa" w:w="90"/>
              <w:bottom w:type="dxa" w:w="60"/>
              <w:right w:type="dxa" w:w="90"/>
            </w:tcMar>
            <w:vAlign w:val="top"/>
          </w:tcPr>
          <w:p>
            <w:pPr>
              <w:spacing w:after="0" w:line="252"/>
            </w:pPr>
            <w:r>
              <w:rPr>
                <w:rFonts w:ascii="Calibri" w:cs="Calibri" w:eastAsia="Calibri" w:hAnsi="Calibri"/>
                <w:b w:val="false"/>
                <w:bCs w:val="false"/>
                <w:color w:val="0F1729"/>
                <w:sz w:val="19"/>
                <w:szCs w:val="19"/>
              </w:rPr>
              <w:t xml:space="preserve">Role-addressed alerts, management reports with CSV, append-only audit with container trace, offline queue replay, event outbox, inbound message simulator with duplicate detection.</w:t>
            </w:r>
          </w:p>
        </w:tc>
      </w:tr>
      <w:tr>
        <w:trPr>
          <w:cantSplit/>
          <w:tblHeader w:val="off"/>
        </w:trPr>
        <w:tc>
          <w:tcPr>
            <w:tcW w:type="dxa" w:w="1638"/>
            <w:tcBorders>
              <w:top w:val="single" w:color="DDE2E7" w:sz="4"/>
              <w:left w:val="single" w:color="DDE2E7" w:sz="4"/>
              <w:bottom w:val="single" w:color="DDE2E7" w:sz="4"/>
              <w:right w:val="single" w:color="DDE2E7" w:sz="4"/>
            </w:tcBorders>
            <w:tcMar>
              <w:top w:type="dxa" w:w="60"/>
              <w:left w:type="dxa" w:w="90"/>
              <w:bottom w:type="dxa" w:w="60"/>
              <w:right w:type="dxa" w:w="90"/>
            </w:tcMar>
            <w:vAlign w:val="top"/>
          </w:tcPr>
          <w:p>
            <w:pPr>
              <w:spacing w:after="0" w:line="252"/>
            </w:pPr>
            <w:r>
              <w:rPr>
                <w:rFonts w:ascii="Calibri" w:cs="Calibri" w:eastAsia="Calibri" w:hAnsi="Calibri"/>
                <w:b w:val="false"/>
                <w:bCs w:val="false"/>
                <w:color w:val="0F1729"/>
                <w:sz w:val="19"/>
                <w:szCs w:val="19"/>
              </w:rPr>
              <w:t xml:space="preserve">Administration</w:t>
            </w:r>
          </w:p>
        </w:tc>
        <w:tc>
          <w:tcPr>
            <w:tcW w:type="dxa" w:w="2891"/>
            <w:tcBorders>
              <w:top w:val="single" w:color="DDE2E7" w:sz="4"/>
              <w:left w:val="single" w:color="DDE2E7" w:sz="4"/>
              <w:bottom w:val="single" w:color="DDE2E7" w:sz="4"/>
              <w:right w:val="single" w:color="DDE2E7" w:sz="4"/>
            </w:tcBorders>
            <w:tcMar>
              <w:top w:type="dxa" w:w="60"/>
              <w:left w:type="dxa" w:w="90"/>
              <w:bottom w:type="dxa" w:w="60"/>
              <w:right w:type="dxa" w:w="90"/>
            </w:tcMar>
            <w:vAlign w:val="top"/>
          </w:tcPr>
          <w:p>
            <w:pPr>
              <w:spacing w:after="0" w:line="252"/>
            </w:pPr>
            <w:r>
              <w:rPr>
                <w:rFonts w:ascii="Calibri" w:cs="Calibri" w:eastAsia="Calibri" w:hAnsi="Calibri"/>
                <w:b w:val="false"/>
                <w:bCs w:val="false"/>
                <w:color w:val="0F1729"/>
                <w:sz w:val="19"/>
                <w:szCs w:val="19"/>
              </w:rPr>
              <w:t xml:space="preserve">Network and locations, users and roles, design system</w:t>
            </w:r>
          </w:p>
        </w:tc>
        <w:tc>
          <w:tcPr>
            <w:tcW w:type="dxa" w:w="5108"/>
            <w:tcBorders>
              <w:top w:val="single" w:color="DDE2E7" w:sz="4"/>
              <w:left w:val="single" w:color="DDE2E7" w:sz="4"/>
              <w:bottom w:val="single" w:color="DDE2E7" w:sz="4"/>
              <w:right w:val="single" w:color="DDE2E7" w:sz="4"/>
            </w:tcBorders>
            <w:tcMar>
              <w:top w:type="dxa" w:w="60"/>
              <w:left w:type="dxa" w:w="90"/>
              <w:bottom w:type="dxa" w:w="60"/>
              <w:right w:type="dxa" w:w="90"/>
            </w:tcMar>
            <w:vAlign w:val="top"/>
          </w:tcPr>
          <w:p>
            <w:pPr>
              <w:spacing w:after="0" w:line="252"/>
            </w:pPr>
            <w:r>
              <w:rPr>
                <w:rFonts w:ascii="Calibri" w:cs="Calibri" w:eastAsia="Calibri" w:hAnsi="Calibri"/>
                <w:b w:val="false"/>
                <w:bCs w:val="false"/>
                <w:color w:val="0F1729"/>
                <w:sz w:val="19"/>
                <w:szCs w:val="19"/>
              </w:rPr>
              <w:t xml:space="preserve">Entities and fourteen locations with capacity facts, eleven roles with a permission matrix, thresholds, demonstration data reset.</w:t>
            </w:r>
          </w:p>
        </w:tc>
      </w:tr>
      <w:tr>
        <w:trPr>
          <w:cantSplit/>
          <w:tblHeader w:val="off"/>
        </w:trPr>
        <w:tc>
          <w:tcPr>
            <w:tcW w:type="dxa" w:w="1638"/>
            <w:tcBorders>
              <w:top w:val="single" w:color="DDE2E7" w:sz="4"/>
              <w:left w:val="single" w:color="DDE2E7" w:sz="4"/>
              <w:bottom w:val="single" w:color="DDE2E7" w:sz="4"/>
              <w:right w:val="single" w:color="DDE2E7" w:sz="4"/>
            </w:tcBorders>
            <w:tcMar>
              <w:top w:type="dxa" w:w="60"/>
              <w:left w:type="dxa" w:w="90"/>
              <w:bottom w:type="dxa" w:w="60"/>
              <w:right w:type="dxa" w:w="90"/>
            </w:tcMar>
            <w:vAlign w:val="top"/>
          </w:tcPr>
          <w:p>
            <w:pPr>
              <w:spacing w:after="0" w:line="252"/>
            </w:pPr>
            <w:r>
              <w:rPr>
                <w:rFonts w:ascii="Calibri" w:cs="Calibri" w:eastAsia="Calibri" w:hAnsi="Calibri"/>
                <w:b w:val="false"/>
                <w:bCs w:val="false"/>
                <w:color w:val="0F1729"/>
                <w:sz w:val="19"/>
                <w:szCs w:val="19"/>
              </w:rPr>
              <w:t xml:space="preserve">Customer e-services</w:t>
            </w:r>
          </w:p>
        </w:tc>
        <w:tc>
          <w:tcPr>
            <w:tcW w:type="dxa" w:w="2891"/>
            <w:tcBorders>
              <w:top w:val="single" w:color="DDE2E7" w:sz="4"/>
              <w:left w:val="single" w:color="DDE2E7" w:sz="4"/>
              <w:bottom w:val="single" w:color="DDE2E7" w:sz="4"/>
              <w:right w:val="single" w:color="DDE2E7" w:sz="4"/>
            </w:tcBorders>
            <w:tcMar>
              <w:top w:type="dxa" w:w="60"/>
              <w:left w:type="dxa" w:w="90"/>
              <w:bottom w:type="dxa" w:w="60"/>
              <w:right w:type="dxa" w:w="90"/>
            </w:tcMar>
            <w:vAlign w:val="top"/>
          </w:tcPr>
          <w:p>
            <w:pPr>
              <w:spacing w:after="0" w:line="252"/>
            </w:pPr>
            <w:r>
              <w:rPr>
                <w:rFonts w:ascii="Calibri" w:cs="Calibri" w:eastAsia="Calibri" w:hAnsi="Calibri"/>
                <w:b w:val="false"/>
                <w:bCs w:val="false"/>
                <w:color w:val="0F1729"/>
                <w:sz w:val="19"/>
                <w:szCs w:val="19"/>
              </w:rPr>
              <w:t xml:space="preserve">Home, vessel schedule, container enquiry, e-token portal</w:t>
            </w:r>
          </w:p>
        </w:tc>
        <w:tc>
          <w:tcPr>
            <w:tcW w:type="dxa" w:w="5108"/>
            <w:tcBorders>
              <w:top w:val="single" w:color="DDE2E7" w:sz="4"/>
              <w:left w:val="single" w:color="DDE2E7" w:sz="4"/>
              <w:bottom w:val="single" w:color="DDE2E7" w:sz="4"/>
              <w:right w:val="single" w:color="DDE2E7" w:sz="4"/>
            </w:tcBorders>
            <w:tcMar>
              <w:top w:type="dxa" w:w="60"/>
              <w:left w:type="dxa" w:w="90"/>
              <w:bottom w:type="dxa" w:w="60"/>
              <w:right w:type="dxa" w:w="90"/>
            </w:tcMar>
            <w:vAlign w:val="top"/>
          </w:tcPr>
          <w:p>
            <w:pPr>
              <w:spacing w:after="0" w:line="252"/>
            </w:pPr>
            <w:r>
              <w:rPr>
                <w:rFonts w:ascii="Calibri" w:cs="Calibri" w:eastAsia="Calibri" w:hAnsi="Calibri"/>
                <w:b w:val="false"/>
                <w:bCs w:val="false"/>
                <w:color w:val="0F1729"/>
                <w:sz w:val="19"/>
                <w:szCs w:val="19"/>
              </w:rPr>
              <w:t xml:space="preserve">Public vessel schedule with gate windows, enquiry with storage estimate, consignee dashboard and haulier token generation, online payment.</w:t>
            </w:r>
          </w:p>
        </w:tc>
      </w:tr>
    </w:tbl>
    <w:p>
      <w:pPr>
        <w:pStyle w:val="Heading2"/>
        <w:keepNext/>
        <w:spacing w:after="80" w:before="220"/>
      </w:pPr>
      <w:bookmarkStart w:name="_Toc11" w:id="11"/>
      <w:r>
        <w:rPr>
          <w:rFonts w:ascii="Calibri" w:cs="Calibri" w:eastAsia="Calibri" w:hAnsi="Calibri"/>
          <w:b/>
          <w:bCs/>
          <w:color w:val="283F8F"/>
          <w:sz w:val="25"/>
          <w:szCs w:val="25"/>
        </w:rPr>
        <w:t xml:space="preserve">5.1 Demonstration data</w:t>
      </w:r>
      <w:bookmarkEnd w:id="11"/>
    </w:p>
    <w:p>
      <w:pPr>
        <w:spacing w:after="100" w:before="0" w:line="264"/>
      </w:pPr>
      <w:r>
        <w:rPr>
          <w:rFonts w:ascii="Calibri" w:cs="Calibri" w:eastAsia="Calibri" w:hAnsi="Calibri"/>
          <w:color w:val="0F1729"/>
          <w:sz w:val="21"/>
          <w:szCs w:val="21"/>
        </w:rPr>
        <w:t xml:space="preserve">The prototype seeds itself with a data set that replays real workflows through the same service functions a user would trigger: ten vessel calls across Khorfakkan, Sharjah, Umm Qasr, Jeddah and Canaveral; sixty-four containers in every state from expected to delivered; e-tokens, gate transactions and an inland transfer in progress; Momentum orders, stock and approvals; charges, invoices and payments; integration messages including a duplicate and a failure; two operations waiting in the offline queue. Because the seed runs through the services, every balance reconciles with its ledger and every container’s history is consistent with its state. I verify this with a script that rebuilds the seed under Node.js and checks the reconciliation on every change.</w:t>
      </w:r>
    </w:p>
    <w:p>
      <w:pPr>
        <w:pStyle w:val="Heading1"/>
        <w:keepNext/>
        <w:spacing w:after="120" w:before="280"/>
      </w:pPr>
      <w:bookmarkStart w:name="_Toc12" w:id="12"/>
      <w:r>
        <w:rPr>
          <w:rFonts w:ascii="Calibri" w:cs="Calibri" w:eastAsia="Calibri" w:hAnsi="Calibri"/>
          <w:b/>
          <w:bCs/>
          <w:color w:val="0F1729"/>
          <w:sz w:val="32"/>
          <w:szCs w:val="32"/>
        </w:rPr>
        <w:t xml:space="preserve">6. Domain model and business rules</w:t>
      </w:r>
      <w:bookmarkEnd w:id="12"/>
    </w:p>
    <w:p>
      <w:pPr>
        <w:pStyle w:val="Heading2"/>
        <w:keepNext/>
        <w:spacing w:after="80" w:before="220"/>
      </w:pPr>
      <w:bookmarkStart w:name="_Toc13" w:id="13"/>
      <w:r>
        <w:rPr>
          <w:rFonts w:ascii="Calibri" w:cs="Calibri" w:eastAsia="Calibri" w:hAnsi="Calibri"/>
          <w:b/>
          <w:bCs/>
          <w:color w:val="283F8F"/>
          <w:sz w:val="25"/>
          <w:szCs w:val="25"/>
        </w:rPr>
        <w:t xml:space="preserve">6.1 Entities</w:t>
      </w:r>
      <w:bookmarkEnd w:id="13"/>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4433"/>
        <w:gridCol w:w="3084"/>
      </w:tblGrid>
      <w:tr>
        <w:trPr>
          <w:cantSplit/>
          <w:tblHeader/>
        </w:trPr>
        <w:tc>
          <w:tcPr>
            <w:tcW w:type="dxa" w:w="2120"/>
            <w:tcBorders>
              <w:top w:val="single" w:color="DDE2E7" w:sz="4"/>
              <w:left w:val="single" w:color="DDE2E7" w:sz="4"/>
              <w:bottom w:val="single" w:color="DDE2E7" w:sz="4"/>
              <w:right w:val="single" w:color="DDE2E7" w:sz="4"/>
            </w:tcBorders>
            <w:shd w:fill="F4F6F8" w:color="auto" w:val="clear"/>
            <w:tcMar>
              <w:top w:type="dxa" w:w="60"/>
              <w:left w:type="dxa" w:w="90"/>
              <w:bottom w:type="dxa" w:w="60"/>
              <w:right w:type="dxa" w:w="90"/>
            </w:tcMar>
            <w:vAlign w:val="top"/>
          </w:tcPr>
          <w:p>
            <w:pPr>
              <w:spacing w:after="0" w:line="252"/>
            </w:pPr>
            <w:r>
              <w:rPr>
                <w:rFonts w:ascii="Calibri" w:cs="Calibri" w:eastAsia="Calibri" w:hAnsi="Calibri"/>
                <w:b/>
                <w:bCs/>
                <w:color w:val="5B6576"/>
                <w:sz w:val="19"/>
                <w:szCs w:val="19"/>
              </w:rPr>
              <w:t xml:space="preserve">Entity</w:t>
            </w:r>
          </w:p>
        </w:tc>
        <w:tc>
          <w:tcPr>
            <w:tcW w:type="dxa" w:w="4433"/>
            <w:tcBorders>
              <w:top w:val="single" w:color="DDE2E7" w:sz="4"/>
              <w:left w:val="single" w:color="DDE2E7" w:sz="4"/>
              <w:bottom w:val="single" w:color="DDE2E7" w:sz="4"/>
              <w:right w:val="single" w:color="DDE2E7" w:sz="4"/>
            </w:tcBorders>
            <w:shd w:fill="F4F6F8" w:color="auto" w:val="clear"/>
            <w:tcMar>
              <w:top w:type="dxa" w:w="60"/>
              <w:left w:type="dxa" w:w="90"/>
              <w:bottom w:type="dxa" w:w="60"/>
              <w:right w:type="dxa" w:w="90"/>
            </w:tcMar>
            <w:vAlign w:val="top"/>
          </w:tcPr>
          <w:p>
            <w:pPr>
              <w:spacing w:after="0" w:line="252"/>
            </w:pPr>
            <w:r>
              <w:rPr>
                <w:rFonts w:ascii="Calibri" w:cs="Calibri" w:eastAsia="Calibri" w:hAnsi="Calibri"/>
                <w:b/>
                <w:bCs/>
                <w:color w:val="5B6576"/>
                <w:sz w:val="19"/>
                <w:szCs w:val="19"/>
              </w:rPr>
              <w:t xml:space="preserve">Key attributes</w:t>
            </w:r>
          </w:p>
        </w:tc>
        <w:tc>
          <w:tcPr>
            <w:tcW w:type="dxa" w:w="3084"/>
            <w:tcBorders>
              <w:top w:val="single" w:color="DDE2E7" w:sz="4"/>
              <w:left w:val="single" w:color="DDE2E7" w:sz="4"/>
              <w:bottom w:val="single" w:color="DDE2E7" w:sz="4"/>
              <w:right w:val="single" w:color="DDE2E7" w:sz="4"/>
            </w:tcBorders>
            <w:shd w:fill="F4F6F8" w:color="auto" w:val="clear"/>
            <w:tcMar>
              <w:top w:type="dxa" w:w="60"/>
              <w:left w:type="dxa" w:w="90"/>
              <w:bottom w:type="dxa" w:w="60"/>
              <w:right w:type="dxa" w:w="90"/>
            </w:tcMar>
            <w:vAlign w:val="top"/>
          </w:tcPr>
          <w:p>
            <w:pPr>
              <w:spacing w:after="0" w:line="252"/>
            </w:pPr>
            <w:r>
              <w:rPr>
                <w:rFonts w:ascii="Calibri" w:cs="Calibri" w:eastAsia="Calibri" w:hAnsi="Calibri"/>
                <w:b/>
                <w:bCs/>
                <w:color w:val="5B6576"/>
                <w:sz w:val="19"/>
                <w:szCs w:val="19"/>
              </w:rPr>
              <w:t xml:space="preserve">Notes</w:t>
            </w:r>
          </w:p>
        </w:tc>
      </w:tr>
      <w:tr>
        <w:trPr>
          <w:cantSplit/>
          <w:tblHeader w:val="off"/>
        </w:trPr>
        <w:tc>
          <w:tcPr>
            <w:tcW w:type="dxa" w:w="2120"/>
            <w:tcBorders>
              <w:top w:val="single" w:color="DDE2E7" w:sz="4"/>
              <w:left w:val="single" w:color="DDE2E7" w:sz="4"/>
              <w:bottom w:val="single" w:color="DDE2E7" w:sz="4"/>
              <w:right w:val="single" w:color="DDE2E7" w:sz="4"/>
            </w:tcBorders>
            <w:tcMar>
              <w:top w:type="dxa" w:w="60"/>
              <w:left w:type="dxa" w:w="90"/>
              <w:bottom w:type="dxa" w:w="60"/>
              <w:right w:type="dxa" w:w="90"/>
            </w:tcMar>
            <w:vAlign w:val="top"/>
          </w:tcPr>
          <w:p>
            <w:pPr>
              <w:spacing w:after="0" w:line="252"/>
            </w:pPr>
            <w:r>
              <w:rPr>
                <w:rFonts w:ascii="Calibri" w:cs="Calibri" w:eastAsia="Calibri" w:hAnsi="Calibri"/>
                <w:b w:val="false"/>
                <w:bCs w:val="false"/>
                <w:color w:val="0F1729"/>
                <w:sz w:val="19"/>
                <w:szCs w:val="19"/>
              </w:rPr>
              <w:t xml:space="preserve">Organisation, location</w:t>
            </w:r>
          </w:p>
        </w:tc>
        <w:tc>
          <w:tcPr>
            <w:tcW w:type="dxa" w:w="4433"/>
            <w:tcBorders>
              <w:top w:val="single" w:color="DDE2E7" w:sz="4"/>
              <w:left w:val="single" w:color="DDE2E7" w:sz="4"/>
              <w:bottom w:val="single" w:color="DDE2E7" w:sz="4"/>
              <w:right w:val="single" w:color="DDE2E7" w:sz="4"/>
            </w:tcBorders>
            <w:tcMar>
              <w:top w:type="dxa" w:w="60"/>
              <w:left w:type="dxa" w:w="90"/>
              <w:bottom w:type="dxa" w:w="60"/>
              <w:right w:type="dxa" w:w="90"/>
            </w:tcMar>
            <w:vAlign w:val="top"/>
          </w:tcPr>
          <w:p>
            <w:pPr>
              <w:spacing w:after="0" w:line="252"/>
            </w:pPr>
            <w:r>
              <w:rPr>
                <w:rFonts w:ascii="Calibri" w:cs="Calibri" w:eastAsia="Calibri" w:hAnsi="Calibri"/>
                <w:b w:val="false"/>
                <w:bCs w:val="false"/>
                <w:color w:val="0F1729"/>
                <w:sz w:val="19"/>
                <w:szCs w:val="19"/>
              </w:rPr>
              <w:t xml:space="preserve">Platform (GT Ports, GT Logistics, GT Maritime), type (terminal, inland depot, logistics centre, warehouse), country, time zone, hours, bonded, berths, quay, draft, yard TEU, reefer plugs, warehouse area</w:t>
            </w:r>
          </w:p>
        </w:tc>
        <w:tc>
          <w:tcPr>
            <w:tcW w:type="dxa" w:w="3084"/>
            <w:tcBorders>
              <w:top w:val="single" w:color="DDE2E7" w:sz="4"/>
              <w:left w:val="single" w:color="DDE2E7" w:sz="4"/>
              <w:bottom w:val="single" w:color="DDE2E7" w:sz="4"/>
              <w:right w:val="single" w:color="DDE2E7" w:sz="4"/>
            </w:tcBorders>
            <w:tcMar>
              <w:top w:type="dxa" w:w="60"/>
              <w:left w:type="dxa" w:w="90"/>
              <w:bottom w:type="dxa" w:w="60"/>
              <w:right w:type="dxa" w:w="90"/>
            </w:tcMar>
            <w:vAlign w:val="top"/>
          </w:tcPr>
          <w:p>
            <w:pPr>
              <w:spacing w:after="0" w:line="252"/>
            </w:pPr>
            <w:r>
              <w:rPr>
                <w:rFonts w:ascii="Calibri" w:cs="Calibri" w:eastAsia="Calibri" w:hAnsi="Calibri"/>
                <w:b w:val="false"/>
                <w:bCs w:val="false"/>
                <w:color w:val="0F1729"/>
                <w:sz w:val="19"/>
                <w:szCs w:val="19"/>
              </w:rPr>
              <w:t xml:space="preserve">Fourteen locations seeded from Gulftainer’s published network.</w:t>
            </w:r>
          </w:p>
        </w:tc>
      </w:tr>
      <w:tr>
        <w:trPr>
          <w:cantSplit/>
          <w:tblHeader w:val="off"/>
        </w:trPr>
        <w:tc>
          <w:tcPr>
            <w:tcW w:type="dxa" w:w="2120"/>
            <w:tcBorders>
              <w:top w:val="single" w:color="DDE2E7" w:sz="4"/>
              <w:left w:val="single" w:color="DDE2E7" w:sz="4"/>
              <w:bottom w:val="single" w:color="DDE2E7" w:sz="4"/>
              <w:right w:val="single" w:color="DDE2E7" w:sz="4"/>
            </w:tcBorders>
            <w:tcMar>
              <w:top w:type="dxa" w:w="60"/>
              <w:left w:type="dxa" w:w="90"/>
              <w:bottom w:type="dxa" w:w="60"/>
              <w:right w:type="dxa" w:w="90"/>
            </w:tcMar>
            <w:vAlign w:val="top"/>
          </w:tcPr>
          <w:p>
            <w:pPr>
              <w:spacing w:after="0" w:line="252"/>
            </w:pPr>
            <w:r>
              <w:rPr>
                <w:rFonts w:ascii="Calibri" w:cs="Calibri" w:eastAsia="Calibri" w:hAnsi="Calibri"/>
                <w:b w:val="false"/>
                <w:bCs w:val="false"/>
                <w:color w:val="0F1729"/>
                <w:sz w:val="19"/>
                <w:szCs w:val="19"/>
              </w:rPr>
              <w:t xml:space="preserve">Employee, role</w:t>
            </w:r>
          </w:p>
        </w:tc>
        <w:tc>
          <w:tcPr>
            <w:tcW w:type="dxa" w:w="4433"/>
            <w:tcBorders>
              <w:top w:val="single" w:color="DDE2E7" w:sz="4"/>
              <w:left w:val="single" w:color="DDE2E7" w:sz="4"/>
              <w:bottom w:val="single" w:color="DDE2E7" w:sz="4"/>
              <w:right w:val="single" w:color="DDE2E7" w:sz="4"/>
            </w:tcBorders>
            <w:tcMar>
              <w:top w:type="dxa" w:w="60"/>
              <w:left w:type="dxa" w:w="90"/>
              <w:bottom w:type="dxa" w:w="60"/>
              <w:right w:type="dxa" w:w="90"/>
            </w:tcMar>
            <w:vAlign w:val="top"/>
          </w:tcPr>
          <w:p>
            <w:pPr>
              <w:spacing w:after="0" w:line="252"/>
            </w:pPr>
            <w:r>
              <w:rPr>
                <w:rFonts w:ascii="Calibri" w:cs="Calibri" w:eastAsia="Calibri" w:hAnsi="Calibri"/>
                <w:b w:val="false"/>
                <w:bCs w:val="false"/>
                <w:color w:val="0F1729"/>
                <w:sz w:val="19"/>
                <w:szCs w:val="19"/>
              </w:rPr>
              <w:t xml:space="preserve">Eleven roles; location scope</w:t>
            </w:r>
          </w:p>
        </w:tc>
        <w:tc>
          <w:tcPr>
            <w:tcW w:type="dxa" w:w="3084"/>
            <w:tcBorders>
              <w:top w:val="single" w:color="DDE2E7" w:sz="4"/>
              <w:left w:val="single" w:color="DDE2E7" w:sz="4"/>
              <w:bottom w:val="single" w:color="DDE2E7" w:sz="4"/>
              <w:right w:val="single" w:color="DDE2E7" w:sz="4"/>
            </w:tcBorders>
            <w:tcMar>
              <w:top w:type="dxa" w:w="60"/>
              <w:left w:type="dxa" w:w="90"/>
              <w:bottom w:type="dxa" w:w="60"/>
              <w:right w:type="dxa" w:w="90"/>
            </w:tcMar>
            <w:vAlign w:val="top"/>
          </w:tcPr>
          <w:p>
            <w:pPr>
              <w:spacing w:after="0" w:line="252"/>
            </w:pPr>
            <w:r>
              <w:rPr>
                <w:rFonts w:ascii="Calibri" w:cs="Calibri" w:eastAsia="Calibri" w:hAnsi="Calibri"/>
                <w:b w:val="false"/>
                <w:bCs w:val="false"/>
                <w:color w:val="0F1729"/>
                <w:sz w:val="19"/>
                <w:szCs w:val="19"/>
              </w:rPr>
              <w:t xml:space="preserve">System administrator, terminal operations, planner, gate officer, customer service, warehouse worker and supervisor, inventory manager, transport manager, finance manager, auditor.</w:t>
            </w:r>
          </w:p>
        </w:tc>
      </w:tr>
      <w:tr>
        <w:trPr>
          <w:cantSplit/>
          <w:tblHeader w:val="off"/>
        </w:trPr>
        <w:tc>
          <w:tcPr>
            <w:tcW w:type="dxa" w:w="2120"/>
            <w:tcBorders>
              <w:top w:val="single" w:color="DDE2E7" w:sz="4"/>
              <w:left w:val="single" w:color="DDE2E7" w:sz="4"/>
              <w:bottom w:val="single" w:color="DDE2E7" w:sz="4"/>
              <w:right w:val="single" w:color="DDE2E7" w:sz="4"/>
            </w:tcBorders>
            <w:tcMar>
              <w:top w:type="dxa" w:w="60"/>
              <w:left w:type="dxa" w:w="90"/>
              <w:bottom w:type="dxa" w:w="60"/>
              <w:right w:type="dxa" w:w="90"/>
            </w:tcMar>
            <w:vAlign w:val="top"/>
          </w:tcPr>
          <w:p>
            <w:pPr>
              <w:spacing w:after="0" w:line="252"/>
            </w:pPr>
            <w:r>
              <w:rPr>
                <w:rFonts w:ascii="Calibri" w:cs="Calibri" w:eastAsia="Calibri" w:hAnsi="Calibri"/>
                <w:b w:val="false"/>
                <w:bCs w:val="false"/>
                <w:color w:val="0F1729"/>
                <w:sz w:val="19"/>
                <w:szCs w:val="19"/>
              </w:rPr>
              <w:t xml:space="preserve">Party</w:t>
            </w:r>
          </w:p>
        </w:tc>
        <w:tc>
          <w:tcPr>
            <w:tcW w:type="dxa" w:w="4433"/>
            <w:tcBorders>
              <w:top w:val="single" w:color="DDE2E7" w:sz="4"/>
              <w:left w:val="single" w:color="DDE2E7" w:sz="4"/>
              <w:bottom w:val="single" w:color="DDE2E7" w:sz="4"/>
              <w:right w:val="single" w:color="DDE2E7" w:sz="4"/>
            </w:tcBorders>
            <w:tcMar>
              <w:top w:type="dxa" w:w="60"/>
              <w:left w:type="dxa" w:w="90"/>
              <w:bottom w:type="dxa" w:w="60"/>
              <w:right w:type="dxa" w:w="90"/>
            </w:tcMar>
            <w:vAlign w:val="top"/>
          </w:tcPr>
          <w:p>
            <w:pPr>
              <w:spacing w:after="0" w:line="252"/>
            </w:pPr>
            <w:r>
              <w:rPr>
                <w:rFonts w:ascii="Calibri" w:cs="Calibri" w:eastAsia="Calibri" w:hAnsi="Calibri"/>
                <w:b w:val="false"/>
                <w:bCs w:val="false"/>
                <w:color w:val="0F1729"/>
                <w:sz w:val="19"/>
                <w:szCs w:val="19"/>
              </w:rPr>
              <w:t xml:space="preserve">Shipping line, consignee, clearing agent, haulier, contract customer, shipper; portal registration; credit terms</w:t>
            </w:r>
          </w:p>
        </w:tc>
        <w:tc>
          <w:tcPr>
            <w:tcW w:type="dxa" w:w="3084"/>
            <w:tcBorders>
              <w:top w:val="single" w:color="DDE2E7" w:sz="4"/>
              <w:left w:val="single" w:color="DDE2E7" w:sz="4"/>
              <w:bottom w:val="single" w:color="DDE2E7" w:sz="4"/>
              <w:right w:val="single" w:color="DDE2E7" w:sz="4"/>
            </w:tcBorders>
            <w:tcMar>
              <w:top w:type="dxa" w:w="60"/>
              <w:left w:type="dxa" w:w="90"/>
              <w:bottom w:type="dxa" w:w="60"/>
              <w:right w:type="dxa" w:w="90"/>
            </w:tcMar>
            <w:vAlign w:val="top"/>
          </w:tcPr>
          <w:p>
            <w:pPr>
              <w:spacing w:after="0" w:line="252"/>
            </w:pPr>
            <w:r>
              <w:rPr>
                <w:rFonts w:ascii="Calibri" w:cs="Calibri" w:eastAsia="Calibri" w:hAnsi="Calibri"/>
                <w:b w:val="false"/>
                <w:bCs w:val="false"/>
                <w:color w:val="0F1729"/>
                <w:sz w:val="19"/>
                <w:szCs w:val="19"/>
              </w:rPr>
              <w:t xml:space="preserve">Portal registration gates online payment and e-tokens.</w:t>
            </w:r>
          </w:p>
        </w:tc>
      </w:tr>
      <w:tr>
        <w:trPr>
          <w:cantSplit/>
          <w:tblHeader w:val="off"/>
        </w:trPr>
        <w:tc>
          <w:tcPr>
            <w:tcW w:type="dxa" w:w="2120"/>
            <w:tcBorders>
              <w:top w:val="single" w:color="DDE2E7" w:sz="4"/>
              <w:left w:val="single" w:color="DDE2E7" w:sz="4"/>
              <w:bottom w:val="single" w:color="DDE2E7" w:sz="4"/>
              <w:right w:val="single" w:color="DDE2E7" w:sz="4"/>
            </w:tcBorders>
            <w:tcMar>
              <w:top w:type="dxa" w:w="60"/>
              <w:left w:type="dxa" w:w="90"/>
              <w:bottom w:type="dxa" w:w="60"/>
              <w:right w:type="dxa" w:w="90"/>
            </w:tcMar>
            <w:vAlign w:val="top"/>
          </w:tcPr>
          <w:p>
            <w:pPr>
              <w:spacing w:after="0" w:line="252"/>
            </w:pPr>
            <w:r>
              <w:rPr>
                <w:rFonts w:ascii="Calibri" w:cs="Calibri" w:eastAsia="Calibri" w:hAnsi="Calibri"/>
                <w:b w:val="false"/>
                <w:bCs w:val="false"/>
                <w:color w:val="0F1729"/>
                <w:sz w:val="19"/>
                <w:szCs w:val="19"/>
              </w:rPr>
              <w:t xml:space="preserve">Vessel call</w:t>
            </w:r>
          </w:p>
        </w:tc>
        <w:tc>
          <w:tcPr>
            <w:tcW w:type="dxa" w:w="4433"/>
            <w:tcBorders>
              <w:top w:val="single" w:color="DDE2E7" w:sz="4"/>
              <w:left w:val="single" w:color="DDE2E7" w:sz="4"/>
              <w:bottom w:val="single" w:color="DDE2E7" w:sz="4"/>
              <w:right w:val="single" w:color="DDE2E7" w:sz="4"/>
            </w:tcBorders>
            <w:tcMar>
              <w:top w:type="dxa" w:w="60"/>
              <w:left w:type="dxa" w:w="90"/>
              <w:bottom w:type="dxa" w:w="60"/>
              <w:right w:type="dxa" w:w="90"/>
            </w:tcMar>
            <w:vAlign w:val="top"/>
          </w:tcPr>
          <w:p>
            <w:pPr>
              <w:spacing w:after="0" w:line="252"/>
            </w:pPr>
            <w:r>
              <w:rPr>
                <w:rFonts w:ascii="Calibri" w:cs="Calibri" w:eastAsia="Calibri" w:hAnsi="Calibri"/>
                <w:b w:val="false"/>
                <w:bCs w:val="false"/>
                <w:color w:val="0F1729"/>
                <w:sz w:val="19"/>
                <w:szCs w:val="19"/>
              </w:rPr>
              <w:t xml:space="preserve">Voyage, vessel, line, terminal, berth, ETA/ETB/ETD, gate window, planned and actual moves, pre-arrival documents, notices, status</w:t>
            </w:r>
          </w:p>
        </w:tc>
        <w:tc>
          <w:tcPr>
            <w:tcW w:type="dxa" w:w="3084"/>
            <w:tcBorders>
              <w:top w:val="single" w:color="DDE2E7" w:sz="4"/>
              <w:left w:val="single" w:color="DDE2E7" w:sz="4"/>
              <w:bottom w:val="single" w:color="DDE2E7" w:sz="4"/>
              <w:right w:val="single" w:color="DDE2E7" w:sz="4"/>
            </w:tcBorders>
            <w:tcMar>
              <w:top w:type="dxa" w:w="60"/>
              <w:left w:type="dxa" w:w="90"/>
              <w:bottom w:type="dxa" w:w="60"/>
              <w:right w:type="dxa" w:w="90"/>
            </w:tcMar>
            <w:vAlign w:val="top"/>
          </w:tcPr>
          <w:p>
            <w:pPr>
              <w:spacing w:after="0" w:line="252"/>
            </w:pPr>
            <w:r>
              <w:rPr>
                <w:rFonts w:ascii="Calibri" w:cs="Calibri" w:eastAsia="Calibri" w:hAnsi="Calibri"/>
                <w:b w:val="false"/>
                <w:bCs w:val="false"/>
                <w:color w:val="0F1729"/>
                <w:sz w:val="19"/>
                <w:szCs w:val="19"/>
              </w:rPr>
              <w:t xml:space="preserve">Status: expected, berthed, working, completed, departed.</w:t>
            </w:r>
          </w:p>
        </w:tc>
      </w:tr>
      <w:tr>
        <w:trPr>
          <w:cantSplit/>
          <w:tblHeader w:val="off"/>
        </w:trPr>
        <w:tc>
          <w:tcPr>
            <w:tcW w:type="dxa" w:w="2120"/>
            <w:tcBorders>
              <w:top w:val="single" w:color="DDE2E7" w:sz="4"/>
              <w:left w:val="single" w:color="DDE2E7" w:sz="4"/>
              <w:bottom w:val="single" w:color="DDE2E7" w:sz="4"/>
              <w:right w:val="single" w:color="DDE2E7" w:sz="4"/>
            </w:tcBorders>
            <w:tcMar>
              <w:top w:type="dxa" w:w="60"/>
              <w:left w:type="dxa" w:w="90"/>
              <w:bottom w:type="dxa" w:w="60"/>
              <w:right w:type="dxa" w:w="90"/>
            </w:tcMar>
            <w:vAlign w:val="top"/>
          </w:tcPr>
          <w:p>
            <w:pPr>
              <w:spacing w:after="0" w:line="252"/>
            </w:pPr>
            <w:r>
              <w:rPr>
                <w:rFonts w:ascii="Calibri" w:cs="Calibri" w:eastAsia="Calibri" w:hAnsi="Calibri"/>
                <w:b w:val="false"/>
                <w:bCs w:val="false"/>
                <w:color w:val="0F1729"/>
                <w:sz w:val="19"/>
                <w:szCs w:val="19"/>
              </w:rPr>
              <w:t xml:space="preserve">Container</w:t>
            </w:r>
          </w:p>
        </w:tc>
        <w:tc>
          <w:tcPr>
            <w:tcW w:type="dxa" w:w="4433"/>
            <w:tcBorders>
              <w:top w:val="single" w:color="DDE2E7" w:sz="4"/>
              <w:left w:val="single" w:color="DDE2E7" w:sz="4"/>
              <w:bottom w:val="single" w:color="DDE2E7" w:sz="4"/>
              <w:right w:val="single" w:color="DDE2E7" w:sz="4"/>
            </w:tcBorders>
            <w:tcMar>
              <w:top w:type="dxa" w:w="60"/>
              <w:left w:type="dxa" w:w="90"/>
              <w:bottom w:type="dxa" w:w="60"/>
              <w:right w:type="dxa" w:w="90"/>
            </w:tcMar>
            <w:vAlign w:val="top"/>
          </w:tcPr>
          <w:p>
            <w:pPr>
              <w:spacing w:after="0" w:line="252"/>
            </w:pPr>
            <w:r>
              <w:rPr>
                <w:rFonts w:ascii="Calibri" w:cs="Calibri" w:eastAsia="Calibri" w:hAnsi="Calibri"/>
                <w:b w:val="false"/>
                <w:bCs w:val="false"/>
                <w:color w:val="0F1729"/>
                <w:sz w:val="19"/>
                <w:szCs w:val="19"/>
              </w:rPr>
              <w:t xml:space="preserve">ISO number, size and type, category, line, consignee, agent, weight and VGM, seal, DG, OOG, reefer, physical status, location and yard position, inbound and outbound calls, customs status, delivery order, holds, charges settled, haulier, token</w:t>
            </w:r>
          </w:p>
        </w:tc>
        <w:tc>
          <w:tcPr>
            <w:tcW w:type="dxa" w:w="3084"/>
            <w:tcBorders>
              <w:top w:val="single" w:color="DDE2E7" w:sz="4"/>
              <w:left w:val="single" w:color="DDE2E7" w:sz="4"/>
              <w:bottom w:val="single" w:color="DDE2E7" w:sz="4"/>
              <w:right w:val="single" w:color="DDE2E7" w:sz="4"/>
            </w:tcBorders>
            <w:tcMar>
              <w:top w:type="dxa" w:w="60"/>
              <w:left w:type="dxa" w:w="90"/>
              <w:bottom w:type="dxa" w:w="60"/>
              <w:right w:type="dxa" w:w="90"/>
            </w:tcMar>
            <w:vAlign w:val="top"/>
          </w:tcPr>
          <w:p>
            <w:pPr>
              <w:spacing w:after="0" w:line="252"/>
            </w:pPr>
            <w:r>
              <w:rPr>
                <w:rFonts w:ascii="Calibri" w:cs="Calibri" w:eastAsia="Calibri" w:hAnsi="Calibri"/>
                <w:b w:val="false"/>
                <w:bCs w:val="false"/>
                <w:color w:val="0F1729"/>
                <w:sz w:val="19"/>
                <w:szCs w:val="19"/>
              </w:rPr>
              <w:t xml:space="preserve">Physical status: expected, in yard, on truck, on vessel, delivered. Release is derived, never stored.</w:t>
            </w:r>
          </w:p>
        </w:tc>
      </w:tr>
      <w:tr>
        <w:trPr>
          <w:cantSplit/>
          <w:tblHeader w:val="off"/>
        </w:trPr>
        <w:tc>
          <w:tcPr>
            <w:tcW w:type="dxa" w:w="2120"/>
            <w:tcBorders>
              <w:top w:val="single" w:color="DDE2E7" w:sz="4"/>
              <w:left w:val="single" w:color="DDE2E7" w:sz="4"/>
              <w:bottom w:val="single" w:color="DDE2E7" w:sz="4"/>
              <w:right w:val="single" w:color="DDE2E7" w:sz="4"/>
            </w:tcBorders>
            <w:tcMar>
              <w:top w:type="dxa" w:w="60"/>
              <w:left w:type="dxa" w:w="90"/>
              <w:bottom w:type="dxa" w:w="60"/>
              <w:right w:type="dxa" w:w="90"/>
            </w:tcMar>
            <w:vAlign w:val="top"/>
          </w:tcPr>
          <w:p>
            <w:pPr>
              <w:spacing w:after="0" w:line="252"/>
            </w:pPr>
            <w:r>
              <w:rPr>
                <w:rFonts w:ascii="Calibri" w:cs="Calibri" w:eastAsia="Calibri" w:hAnsi="Calibri"/>
                <w:b w:val="false"/>
                <w:bCs w:val="false"/>
                <w:color w:val="0F1729"/>
                <w:sz w:val="19"/>
                <w:szCs w:val="19"/>
              </w:rPr>
              <w:t xml:space="preserve">Container event</w:t>
            </w:r>
          </w:p>
        </w:tc>
        <w:tc>
          <w:tcPr>
            <w:tcW w:type="dxa" w:w="4433"/>
            <w:tcBorders>
              <w:top w:val="single" w:color="DDE2E7" w:sz="4"/>
              <w:left w:val="single" w:color="DDE2E7" w:sz="4"/>
              <w:bottom w:val="single" w:color="DDE2E7" w:sz="4"/>
              <w:right w:val="single" w:color="DDE2E7" w:sz="4"/>
            </w:tcBorders>
            <w:tcMar>
              <w:top w:type="dxa" w:w="60"/>
              <w:left w:type="dxa" w:w="90"/>
              <w:bottom w:type="dxa" w:w="60"/>
              <w:right w:type="dxa" w:w="90"/>
            </w:tcMar>
            <w:vAlign w:val="top"/>
          </w:tcPr>
          <w:p>
            <w:pPr>
              <w:spacing w:after="0" w:line="252"/>
            </w:pPr>
            <w:r>
              <w:rPr>
                <w:rFonts w:ascii="Calibri" w:cs="Calibri" w:eastAsia="Calibri" w:hAnsi="Calibri"/>
                <w:b w:val="false"/>
                <w:bCs w:val="false"/>
                <w:color w:val="0F1729"/>
                <w:sz w:val="19"/>
                <w:szCs w:val="19"/>
              </w:rPr>
              <w:t xml:space="preserve">Type, time, actor, location, from and to position, reference</w:t>
            </w:r>
          </w:p>
        </w:tc>
        <w:tc>
          <w:tcPr>
            <w:tcW w:type="dxa" w:w="3084"/>
            <w:tcBorders>
              <w:top w:val="single" w:color="DDE2E7" w:sz="4"/>
              <w:left w:val="single" w:color="DDE2E7" w:sz="4"/>
              <w:bottom w:val="single" w:color="DDE2E7" w:sz="4"/>
              <w:right w:val="single" w:color="DDE2E7" w:sz="4"/>
            </w:tcBorders>
            <w:tcMar>
              <w:top w:type="dxa" w:w="60"/>
              <w:left w:type="dxa" w:w="90"/>
              <w:bottom w:type="dxa" w:w="60"/>
              <w:right w:type="dxa" w:w="90"/>
            </w:tcMar>
            <w:vAlign w:val="top"/>
          </w:tcPr>
          <w:p>
            <w:pPr>
              <w:spacing w:after="0" w:line="252"/>
            </w:pPr>
            <w:r>
              <w:rPr>
                <w:rFonts w:ascii="Calibri" w:cs="Calibri" w:eastAsia="Calibri" w:hAnsi="Calibri"/>
                <w:b w:val="false"/>
                <w:bCs w:val="false"/>
                <w:color w:val="0F1729"/>
                <w:sz w:val="19"/>
                <w:szCs w:val="19"/>
              </w:rPr>
              <w:t xml:space="preserve">Append-only; twenty event types.</w:t>
            </w:r>
          </w:p>
        </w:tc>
      </w:tr>
      <w:tr>
        <w:trPr>
          <w:cantSplit/>
          <w:tblHeader w:val="off"/>
        </w:trPr>
        <w:tc>
          <w:tcPr>
            <w:tcW w:type="dxa" w:w="2120"/>
            <w:tcBorders>
              <w:top w:val="single" w:color="DDE2E7" w:sz="4"/>
              <w:left w:val="single" w:color="DDE2E7" w:sz="4"/>
              <w:bottom w:val="single" w:color="DDE2E7" w:sz="4"/>
              <w:right w:val="single" w:color="DDE2E7" w:sz="4"/>
            </w:tcBorders>
            <w:tcMar>
              <w:top w:type="dxa" w:w="60"/>
              <w:left w:type="dxa" w:w="90"/>
              <w:bottom w:type="dxa" w:w="60"/>
              <w:right w:type="dxa" w:w="90"/>
            </w:tcMar>
            <w:vAlign w:val="top"/>
          </w:tcPr>
          <w:p>
            <w:pPr>
              <w:spacing w:after="0" w:line="252"/>
            </w:pPr>
            <w:r>
              <w:rPr>
                <w:rFonts w:ascii="Calibri" w:cs="Calibri" w:eastAsia="Calibri" w:hAnsi="Calibri"/>
                <w:b w:val="false"/>
                <w:bCs w:val="false"/>
                <w:color w:val="0F1729"/>
                <w:sz w:val="19"/>
                <w:szCs w:val="19"/>
              </w:rPr>
              <w:t xml:space="preserve">E-token, gate transaction</w:t>
            </w:r>
          </w:p>
        </w:tc>
        <w:tc>
          <w:tcPr>
            <w:tcW w:type="dxa" w:w="4433"/>
            <w:tcBorders>
              <w:top w:val="single" w:color="DDE2E7" w:sz="4"/>
              <w:left w:val="single" w:color="DDE2E7" w:sz="4"/>
              <w:bottom w:val="single" w:color="DDE2E7" w:sz="4"/>
              <w:right w:val="single" w:color="DDE2E7" w:sz="4"/>
            </w:tcBorders>
            <w:tcMar>
              <w:top w:type="dxa" w:w="60"/>
              <w:left w:type="dxa" w:w="90"/>
              <w:bottom w:type="dxa" w:w="60"/>
              <w:right w:type="dxa" w:w="90"/>
            </w:tcMar>
            <w:vAlign w:val="top"/>
          </w:tcPr>
          <w:p>
            <w:pPr>
              <w:spacing w:after="0" w:line="252"/>
            </w:pPr>
            <w:r>
              <w:rPr>
                <w:rFonts w:ascii="Calibri" w:cs="Calibri" w:eastAsia="Calibri" w:hAnsi="Calibri"/>
                <w:b w:val="false"/>
                <w:bCs w:val="false"/>
                <w:color w:val="0F1729"/>
                <w:sz w:val="19"/>
                <w:szCs w:val="19"/>
              </w:rPr>
              <w:t xml:space="preserve">Type, container, haulier, truck, driver, slot, status, fee; direction, seal check, remarks, overtime</w:t>
            </w:r>
          </w:p>
        </w:tc>
        <w:tc>
          <w:tcPr>
            <w:tcW w:type="dxa" w:w="3084"/>
            <w:tcBorders>
              <w:top w:val="single" w:color="DDE2E7" w:sz="4"/>
              <w:left w:val="single" w:color="DDE2E7" w:sz="4"/>
              <w:bottom w:val="single" w:color="DDE2E7" w:sz="4"/>
              <w:right w:val="single" w:color="DDE2E7" w:sz="4"/>
            </w:tcBorders>
            <w:tcMar>
              <w:top w:type="dxa" w:w="60"/>
              <w:left w:type="dxa" w:w="90"/>
              <w:bottom w:type="dxa" w:w="60"/>
              <w:right w:type="dxa" w:w="90"/>
            </w:tcMar>
            <w:vAlign w:val="top"/>
          </w:tcPr>
          <w:p>
            <w:pPr>
              <w:spacing w:after="0" w:line="252"/>
            </w:pPr>
            <w:r>
              <w:rPr>
                <w:rFonts w:ascii="Calibri" w:cs="Calibri" w:eastAsia="Calibri" w:hAnsi="Calibri"/>
                <w:b w:val="false"/>
                <w:bCs w:val="false"/>
                <w:color w:val="0F1729"/>
                <w:sz w:val="19"/>
                <w:szCs w:val="19"/>
              </w:rPr>
              <w:t xml:space="preserve">Token status: generated, at marshalling yard, completed, cancelled, expired.</w:t>
            </w:r>
          </w:p>
        </w:tc>
      </w:tr>
      <w:tr>
        <w:trPr>
          <w:cantSplit/>
          <w:tblHeader w:val="off"/>
        </w:trPr>
        <w:tc>
          <w:tcPr>
            <w:tcW w:type="dxa" w:w="2120"/>
            <w:tcBorders>
              <w:top w:val="single" w:color="DDE2E7" w:sz="4"/>
              <w:left w:val="single" w:color="DDE2E7" w:sz="4"/>
              <w:bottom w:val="single" w:color="DDE2E7" w:sz="4"/>
              <w:right w:val="single" w:color="DDE2E7" w:sz="4"/>
            </w:tcBorders>
            <w:tcMar>
              <w:top w:type="dxa" w:w="60"/>
              <w:left w:type="dxa" w:w="90"/>
              <w:bottom w:type="dxa" w:w="60"/>
              <w:right w:type="dxa" w:w="90"/>
            </w:tcMar>
            <w:vAlign w:val="top"/>
          </w:tcPr>
          <w:p>
            <w:pPr>
              <w:spacing w:after="0" w:line="252"/>
            </w:pPr>
            <w:r>
              <w:rPr>
                <w:rFonts w:ascii="Calibri" w:cs="Calibri" w:eastAsia="Calibri" w:hAnsi="Calibri"/>
                <w:b w:val="false"/>
                <w:bCs w:val="false"/>
                <w:color w:val="0F1729"/>
                <w:sz w:val="19"/>
                <w:szCs w:val="19"/>
              </w:rPr>
              <w:t xml:space="preserve">Inland transfer, transport job</w:t>
            </w:r>
          </w:p>
        </w:tc>
        <w:tc>
          <w:tcPr>
            <w:tcW w:type="dxa" w:w="4433"/>
            <w:tcBorders>
              <w:top w:val="single" w:color="DDE2E7" w:sz="4"/>
              <w:left w:val="single" w:color="DDE2E7" w:sz="4"/>
              <w:bottom w:val="single" w:color="DDE2E7" w:sz="4"/>
              <w:right w:val="single" w:color="DDE2E7" w:sz="4"/>
            </w:tcBorders>
            <w:tcMar>
              <w:top w:type="dxa" w:w="60"/>
              <w:left w:type="dxa" w:w="90"/>
              <w:bottom w:type="dxa" w:w="60"/>
              <w:right w:type="dxa" w:w="90"/>
            </w:tcMar>
            <w:vAlign w:val="top"/>
          </w:tcPr>
          <w:p>
            <w:pPr>
              <w:spacing w:after="0" w:line="252"/>
            </w:pPr>
            <w:r>
              <w:rPr>
                <w:rFonts w:ascii="Calibri" w:cs="Calibri" w:eastAsia="Calibri" w:hAnsi="Calibri"/>
                <w:b w:val="false"/>
                <w:bCs w:val="false"/>
                <w:color w:val="0F1729"/>
                <w:sz w:val="19"/>
                <w:szCs w:val="19"/>
              </w:rPr>
              <w:t xml:space="preserve">Route, containers, reason, status, vehicle, proof of delivery</w:t>
            </w:r>
          </w:p>
        </w:tc>
        <w:tc>
          <w:tcPr>
            <w:tcW w:type="dxa" w:w="3084"/>
            <w:tcBorders>
              <w:top w:val="single" w:color="DDE2E7" w:sz="4"/>
              <w:left w:val="single" w:color="DDE2E7" w:sz="4"/>
              <w:bottom w:val="single" w:color="DDE2E7" w:sz="4"/>
              <w:right w:val="single" w:color="DDE2E7" w:sz="4"/>
            </w:tcBorders>
            <w:tcMar>
              <w:top w:type="dxa" w:w="60"/>
              <w:left w:type="dxa" w:w="90"/>
              <w:bottom w:type="dxa" w:w="60"/>
              <w:right w:type="dxa" w:w="90"/>
            </w:tcMar>
            <w:vAlign w:val="top"/>
          </w:tcPr>
          <w:p>
            <w:pPr>
              <w:spacing w:after="0" w:line="252"/>
            </w:pPr>
            <w:r>
              <w:rPr>
                <w:rFonts w:ascii="Calibri" w:cs="Calibri" w:eastAsia="Calibri" w:hAnsi="Calibri"/>
                <w:b w:val="false"/>
                <w:bCs w:val="false"/>
                <w:color w:val="0F1729"/>
                <w:sz w:val="19"/>
                <w:szCs w:val="19"/>
              </w:rPr>
              <w:t xml:space="preserve">Transfers create a transport job automatically.</w:t>
            </w:r>
          </w:p>
        </w:tc>
      </w:tr>
      <w:tr>
        <w:trPr>
          <w:cantSplit/>
          <w:tblHeader w:val="off"/>
        </w:trPr>
        <w:tc>
          <w:tcPr>
            <w:tcW w:type="dxa" w:w="2120"/>
            <w:tcBorders>
              <w:top w:val="single" w:color="DDE2E7" w:sz="4"/>
              <w:left w:val="single" w:color="DDE2E7" w:sz="4"/>
              <w:bottom w:val="single" w:color="DDE2E7" w:sz="4"/>
              <w:right w:val="single" w:color="DDE2E7" w:sz="4"/>
            </w:tcBorders>
            <w:tcMar>
              <w:top w:type="dxa" w:w="60"/>
              <w:left w:type="dxa" w:w="90"/>
              <w:bottom w:type="dxa" w:w="60"/>
              <w:right w:type="dxa" w:w="90"/>
            </w:tcMar>
            <w:vAlign w:val="top"/>
          </w:tcPr>
          <w:p>
            <w:pPr>
              <w:spacing w:after="0" w:line="252"/>
            </w:pPr>
            <w:r>
              <w:rPr>
                <w:rFonts w:ascii="Calibri" w:cs="Calibri" w:eastAsia="Calibri" w:hAnsi="Calibri"/>
                <w:b w:val="false"/>
                <w:bCs w:val="false"/>
                <w:color w:val="0F1729"/>
                <w:sz w:val="19"/>
                <w:szCs w:val="19"/>
              </w:rPr>
              <w:t xml:space="preserve">SKU, stock balance, stock movement, warehouse order, operation</w:t>
            </w:r>
          </w:p>
        </w:tc>
        <w:tc>
          <w:tcPr>
            <w:tcW w:type="dxa" w:w="4433"/>
            <w:tcBorders>
              <w:top w:val="single" w:color="DDE2E7" w:sz="4"/>
              <w:left w:val="single" w:color="DDE2E7" w:sz="4"/>
              <w:bottom w:val="single" w:color="DDE2E7" w:sz="4"/>
              <w:right w:val="single" w:color="DDE2E7" w:sz="4"/>
            </w:tcBorders>
            <w:tcMar>
              <w:top w:type="dxa" w:w="60"/>
              <w:left w:type="dxa" w:w="90"/>
              <w:bottom w:type="dxa" w:w="60"/>
              <w:right w:type="dxa" w:w="90"/>
            </w:tcMar>
            <w:vAlign w:val="top"/>
          </w:tcPr>
          <w:p>
            <w:pPr>
              <w:spacing w:after="0" w:line="252"/>
            </w:pPr>
            <w:r>
              <w:rPr>
                <w:rFonts w:ascii="Calibri" w:cs="Calibri" w:eastAsia="Calibri" w:hAnsi="Calibri"/>
                <w:b w:val="false"/>
                <w:bCs w:val="false"/>
                <w:color w:val="0F1729"/>
                <w:sz w:val="19"/>
                <w:szCs w:val="19"/>
              </w:rPr>
              <w:t xml:space="preserve">Buckets available, allocated, damaged, held; movement effects; order lines with received, damaged and picked quantities</w:t>
            </w:r>
          </w:p>
        </w:tc>
        <w:tc>
          <w:tcPr>
            <w:tcW w:type="dxa" w:w="3084"/>
            <w:tcBorders>
              <w:top w:val="single" w:color="DDE2E7" w:sz="4"/>
              <w:left w:val="single" w:color="DDE2E7" w:sz="4"/>
              <w:bottom w:val="single" w:color="DDE2E7" w:sz="4"/>
              <w:right w:val="single" w:color="DDE2E7" w:sz="4"/>
            </w:tcBorders>
            <w:tcMar>
              <w:top w:type="dxa" w:w="60"/>
              <w:left w:type="dxa" w:w="90"/>
              <w:bottom w:type="dxa" w:w="60"/>
              <w:right w:type="dxa" w:w="90"/>
            </w:tcMar>
            <w:vAlign w:val="top"/>
          </w:tcPr>
          <w:p>
            <w:pPr>
              <w:spacing w:after="0" w:line="252"/>
            </w:pPr>
            <w:r>
              <w:rPr>
                <w:rFonts w:ascii="Calibri" w:cs="Calibri" w:eastAsia="Calibri" w:hAnsi="Calibri"/>
                <w:b w:val="false"/>
                <w:bCs w:val="false"/>
                <w:color w:val="0F1729"/>
                <w:sz w:val="19"/>
                <w:szCs w:val="19"/>
              </w:rPr>
              <w:t xml:space="preserve">Balances are the sum of movement effects, checked on every seed.</w:t>
            </w:r>
          </w:p>
        </w:tc>
      </w:tr>
      <w:tr>
        <w:trPr>
          <w:cantSplit/>
          <w:tblHeader w:val="off"/>
        </w:trPr>
        <w:tc>
          <w:tcPr>
            <w:tcW w:type="dxa" w:w="2120"/>
            <w:tcBorders>
              <w:top w:val="single" w:color="DDE2E7" w:sz="4"/>
              <w:left w:val="single" w:color="DDE2E7" w:sz="4"/>
              <w:bottom w:val="single" w:color="DDE2E7" w:sz="4"/>
              <w:right w:val="single" w:color="DDE2E7" w:sz="4"/>
            </w:tcBorders>
            <w:tcMar>
              <w:top w:type="dxa" w:w="60"/>
              <w:left w:type="dxa" w:w="90"/>
              <w:bottom w:type="dxa" w:w="60"/>
              <w:right w:type="dxa" w:w="90"/>
            </w:tcMar>
            <w:vAlign w:val="top"/>
          </w:tcPr>
          <w:p>
            <w:pPr>
              <w:spacing w:after="0" w:line="252"/>
            </w:pPr>
            <w:r>
              <w:rPr>
                <w:rFonts w:ascii="Calibri" w:cs="Calibri" w:eastAsia="Calibri" w:hAnsi="Calibri"/>
                <w:b w:val="false"/>
                <w:bCs w:val="false"/>
                <w:color w:val="0F1729"/>
                <w:sz w:val="19"/>
                <w:szCs w:val="19"/>
              </w:rPr>
              <w:t xml:space="preserve">Charge, invoice, payment, tariff</w:t>
            </w:r>
          </w:p>
        </w:tc>
        <w:tc>
          <w:tcPr>
            <w:tcW w:type="dxa" w:w="4433"/>
            <w:tcBorders>
              <w:top w:val="single" w:color="DDE2E7" w:sz="4"/>
              <w:left w:val="single" w:color="DDE2E7" w:sz="4"/>
              <w:bottom w:val="single" w:color="DDE2E7" w:sz="4"/>
              <w:right w:val="single" w:color="DDE2E7" w:sz="4"/>
            </w:tcBorders>
            <w:tcMar>
              <w:top w:type="dxa" w:w="60"/>
              <w:left w:type="dxa" w:w="90"/>
              <w:bottom w:type="dxa" w:w="60"/>
              <w:right w:type="dxa" w:w="90"/>
            </w:tcMar>
            <w:vAlign w:val="top"/>
          </w:tcPr>
          <w:p>
            <w:pPr>
              <w:spacing w:after="0" w:line="252"/>
            </w:pPr>
            <w:r>
              <w:rPr>
                <w:rFonts w:ascii="Calibri" w:cs="Calibri" w:eastAsia="Calibri" w:hAnsi="Calibri"/>
                <w:b w:val="false"/>
                <w:bCs w:val="false"/>
                <w:color w:val="0F1729"/>
                <w:sz w:val="19"/>
                <w:szCs w:val="19"/>
              </w:rPr>
              <w:t xml:space="preserve">Service code (25 codes), party, quantity, unit amount; subtotal, VAT, total, paid, status, history; the June 2026 schedule</w:t>
            </w:r>
          </w:p>
        </w:tc>
        <w:tc>
          <w:tcPr>
            <w:tcW w:type="dxa" w:w="3084"/>
            <w:tcBorders>
              <w:top w:val="single" w:color="DDE2E7" w:sz="4"/>
              <w:left w:val="single" w:color="DDE2E7" w:sz="4"/>
              <w:bottom w:val="single" w:color="DDE2E7" w:sz="4"/>
              <w:right w:val="single" w:color="DDE2E7" w:sz="4"/>
            </w:tcBorders>
            <w:tcMar>
              <w:top w:type="dxa" w:w="60"/>
              <w:left w:type="dxa" w:w="90"/>
              <w:bottom w:type="dxa" w:w="60"/>
              <w:right w:type="dxa" w:w="90"/>
            </w:tcMar>
            <w:vAlign w:val="top"/>
          </w:tcPr>
          <w:p>
            <w:pPr>
              <w:spacing w:after="0" w:line="252"/>
            </w:pPr>
            <w:r>
              <w:rPr>
                <w:rFonts w:ascii="Calibri" w:cs="Calibri" w:eastAsia="Calibri" w:hAnsi="Calibri"/>
                <w:b w:val="false"/>
                <w:bCs w:val="false"/>
                <w:color w:val="0F1729"/>
                <w:sz w:val="19"/>
                <w:szCs w:val="19"/>
              </w:rPr>
              <w:t xml:space="preserve">Invoice status: draft, issued, partially paid, paid, overdue, cancelled.</w:t>
            </w:r>
          </w:p>
        </w:tc>
      </w:tr>
      <w:tr>
        <w:trPr>
          <w:cantSplit/>
          <w:tblHeader w:val="off"/>
        </w:trPr>
        <w:tc>
          <w:tcPr>
            <w:tcW w:type="dxa" w:w="2120"/>
            <w:tcBorders>
              <w:top w:val="single" w:color="DDE2E7" w:sz="4"/>
              <w:left w:val="single" w:color="DDE2E7" w:sz="4"/>
              <w:bottom w:val="single" w:color="DDE2E7" w:sz="4"/>
              <w:right w:val="single" w:color="DDE2E7" w:sz="4"/>
            </w:tcBorders>
            <w:tcMar>
              <w:top w:type="dxa" w:w="60"/>
              <w:left w:type="dxa" w:w="90"/>
              <w:bottom w:type="dxa" w:w="60"/>
              <w:right w:type="dxa" w:w="90"/>
            </w:tcMar>
            <w:vAlign w:val="top"/>
          </w:tcPr>
          <w:p>
            <w:pPr>
              <w:spacing w:after="0" w:line="252"/>
            </w:pPr>
            <w:r>
              <w:rPr>
                <w:rFonts w:ascii="Calibri" w:cs="Calibri" w:eastAsia="Calibri" w:hAnsi="Calibri"/>
                <w:b w:val="false"/>
                <w:bCs w:val="false"/>
                <w:color w:val="0F1729"/>
                <w:sz w:val="19"/>
                <w:szCs w:val="19"/>
              </w:rPr>
              <w:t xml:space="preserve">Document, notification, audit entry, approval</w:t>
            </w:r>
          </w:p>
        </w:tc>
        <w:tc>
          <w:tcPr>
            <w:tcW w:type="dxa" w:w="4433"/>
            <w:tcBorders>
              <w:top w:val="single" w:color="DDE2E7" w:sz="4"/>
              <w:left w:val="single" w:color="DDE2E7" w:sz="4"/>
              <w:bottom w:val="single" w:color="DDE2E7" w:sz="4"/>
              <w:right w:val="single" w:color="DDE2E7" w:sz="4"/>
            </w:tcBorders>
            <w:tcMar>
              <w:top w:type="dxa" w:w="60"/>
              <w:left w:type="dxa" w:w="90"/>
              <w:bottom w:type="dxa" w:w="60"/>
              <w:right w:type="dxa" w:w="90"/>
            </w:tcMar>
            <w:vAlign w:val="top"/>
          </w:tcPr>
          <w:p>
            <w:pPr>
              <w:spacing w:after="0" w:line="252"/>
            </w:pPr>
            <w:r>
              <w:rPr>
                <w:rFonts w:ascii="Calibri" w:cs="Calibri" w:eastAsia="Calibri" w:hAnsi="Calibri"/>
                <w:b w:val="false"/>
                <w:bCs w:val="false"/>
                <w:color w:val="0F1729"/>
                <w:sz w:val="19"/>
                <w:szCs w:val="19"/>
              </w:rPr>
              <w:t xml:space="preserve">Versions with checksum and retention; audience roles; actor, entity, before and after, reason, request id; separation of duties</w:t>
            </w:r>
          </w:p>
        </w:tc>
        <w:tc>
          <w:tcPr>
            <w:tcW w:type="dxa" w:w="3084"/>
            <w:tcBorders>
              <w:top w:val="single" w:color="DDE2E7" w:sz="4"/>
              <w:left w:val="single" w:color="DDE2E7" w:sz="4"/>
              <w:bottom w:val="single" w:color="DDE2E7" w:sz="4"/>
              <w:right w:val="single" w:color="DDE2E7" w:sz="4"/>
            </w:tcBorders>
            <w:tcMar>
              <w:top w:type="dxa" w:w="60"/>
              <w:left w:type="dxa" w:w="90"/>
              <w:bottom w:type="dxa" w:w="60"/>
              <w:right w:type="dxa" w:w="90"/>
            </w:tcMar>
            <w:vAlign w:val="top"/>
          </w:tcPr>
          <w:p>
            <w:pPr>
              <w:spacing w:after="0" w:line="252"/>
            </w:pPr>
            <w:r>
              <w:rPr>
                <w:rFonts w:ascii="Calibri" w:cs="Calibri" w:eastAsia="Calibri" w:hAnsi="Calibri"/>
                <w:b w:val="false"/>
                <w:bCs w:val="false"/>
                <w:color w:val="0F1729"/>
                <w:sz w:val="19"/>
                <w:szCs w:val="19"/>
              </w:rPr>
              <w:t xml:space="preserve">Audit entries are grouped by the request id of the transaction.</w:t>
            </w:r>
          </w:p>
        </w:tc>
      </w:tr>
      <w:tr>
        <w:trPr>
          <w:cantSplit/>
          <w:tblHeader w:val="off"/>
        </w:trPr>
        <w:tc>
          <w:tcPr>
            <w:tcW w:type="dxa" w:w="2120"/>
            <w:tcBorders>
              <w:top w:val="single" w:color="DDE2E7" w:sz="4"/>
              <w:left w:val="single" w:color="DDE2E7" w:sz="4"/>
              <w:bottom w:val="single" w:color="DDE2E7" w:sz="4"/>
              <w:right w:val="single" w:color="DDE2E7" w:sz="4"/>
            </w:tcBorders>
            <w:tcMar>
              <w:top w:type="dxa" w:w="60"/>
              <w:left w:type="dxa" w:w="90"/>
              <w:bottom w:type="dxa" w:w="60"/>
              <w:right w:type="dxa" w:w="90"/>
            </w:tcMar>
            <w:vAlign w:val="top"/>
          </w:tcPr>
          <w:p>
            <w:pPr>
              <w:spacing w:after="0" w:line="252"/>
            </w:pPr>
            <w:r>
              <w:rPr>
                <w:rFonts w:ascii="Calibri" w:cs="Calibri" w:eastAsia="Calibri" w:hAnsi="Calibri"/>
                <w:b w:val="false"/>
                <w:bCs w:val="false"/>
                <w:color w:val="0F1729"/>
                <w:sz w:val="19"/>
                <w:szCs w:val="19"/>
              </w:rPr>
              <w:t xml:space="preserve">Outbox event, queued operation, integration event, idempotency record</w:t>
            </w:r>
          </w:p>
        </w:tc>
        <w:tc>
          <w:tcPr>
            <w:tcW w:type="dxa" w:w="4433"/>
            <w:tcBorders>
              <w:top w:val="single" w:color="DDE2E7" w:sz="4"/>
              <w:left w:val="single" w:color="DDE2E7" w:sz="4"/>
              <w:bottom w:val="single" w:color="DDE2E7" w:sz="4"/>
              <w:right w:val="single" w:color="DDE2E7" w:sz="4"/>
            </w:tcBorders>
            <w:tcMar>
              <w:top w:type="dxa" w:w="60"/>
              <w:left w:type="dxa" w:w="90"/>
              <w:bottom w:type="dxa" w:w="60"/>
              <w:right w:type="dxa" w:w="90"/>
            </w:tcMar>
            <w:vAlign w:val="top"/>
          </w:tcPr>
          <w:p>
            <w:pPr>
              <w:spacing w:after="0" w:line="252"/>
            </w:pPr>
            <w:r>
              <w:rPr>
                <w:rFonts w:ascii="Calibri" w:cs="Calibri" w:eastAsia="Calibri" w:hAnsi="Calibri"/>
                <w:b w:val="false"/>
                <w:bCs w:val="false"/>
                <w:color w:val="0F1729"/>
                <w:sz w:val="19"/>
                <w:szCs w:val="19"/>
              </w:rPr>
              <w:t xml:space="preserve">Reliability plumbing</w:t>
            </w:r>
          </w:p>
        </w:tc>
        <w:tc>
          <w:tcPr>
            <w:tcW w:type="dxa" w:w="3084"/>
            <w:tcBorders>
              <w:top w:val="single" w:color="DDE2E7" w:sz="4"/>
              <w:left w:val="single" w:color="DDE2E7" w:sz="4"/>
              <w:bottom w:val="single" w:color="DDE2E7" w:sz="4"/>
              <w:right w:val="single" w:color="DDE2E7" w:sz="4"/>
            </w:tcBorders>
            <w:tcMar>
              <w:top w:type="dxa" w:w="60"/>
              <w:left w:type="dxa" w:w="90"/>
              <w:bottom w:type="dxa" w:w="60"/>
              <w:right w:type="dxa" w:w="90"/>
            </w:tcMar>
            <w:vAlign w:val="top"/>
          </w:tcPr>
          <w:p>
            <w:pPr>
              <w:spacing w:after="0" w:line="252"/>
            </w:pPr>
            <w:r>
              <w:rPr>
                <w:rFonts w:ascii="Calibri" w:cs="Calibri" w:eastAsia="Calibri" w:hAnsi="Calibri"/>
                <w:b w:val="false"/>
                <w:bCs w:val="false"/>
                <w:color w:val="0F1729"/>
                <w:sz w:val="19"/>
                <w:szCs w:val="19"/>
              </w:rPr>
              <w:t xml:space="preserve">See section 6.3.</w:t>
            </w:r>
          </w:p>
        </w:tc>
      </w:tr>
    </w:tbl>
    <w:p>
      <w:pPr>
        <w:pStyle w:val="Heading2"/>
        <w:keepNext/>
        <w:spacing w:after="80" w:before="220"/>
      </w:pPr>
      <w:bookmarkStart w:name="_Toc14" w:id="14"/>
      <w:r>
        <w:rPr>
          <w:rFonts w:ascii="Calibri" w:cs="Calibri" w:eastAsia="Calibri" w:hAnsi="Calibri"/>
          <w:b/>
          <w:bCs/>
          <w:color w:val="283F8F"/>
          <w:sz w:val="25"/>
          <w:szCs w:val="25"/>
        </w:rPr>
        <w:t xml:space="preserve">6.2 Rules</w:t>
      </w:r>
      <w:bookmarkEnd w:id="14"/>
    </w:p>
    <w:p>
      <w:pPr>
        <w:spacing w:after="100" w:before="0" w:line="264"/>
      </w:pPr>
      <w:r>
        <w:rPr>
          <w:rFonts w:ascii="Calibri" w:cs="Calibri" w:eastAsia="Calibri" w:hAnsi="Calibri"/>
          <w:color w:val="0F1729"/>
          <w:sz w:val="21"/>
          <w:szCs w:val="21"/>
        </w:rPr>
        <w:t xml:space="preserve">The rules below are enforced in the service layer, not in the screens, so they hold for every caller including the offline replay and the integration workers.</w:t>
      </w:r>
    </w:p>
    <w:p>
      <w:pPr>
        <w:pStyle w:val="ListParagraph"/>
        <w:numPr>
          <w:ilvl w:val="0"/>
          <w:numId w:val="2"/>
        </w:numPr>
        <w:spacing w:after="50" w:line="264"/>
      </w:pPr>
      <w:r>
        <w:rPr>
          <w:rFonts w:ascii="Calibri" w:cs="Calibri" w:eastAsia="Calibri" w:hAnsi="Calibri"/>
          <w:color w:val="0F1729"/>
          <w:sz w:val="21"/>
          <w:szCs w:val="21"/>
        </w:rPr>
        <w:t xml:space="preserve">Operations may only start on a call once the bay plan, discharge and load lists and, where dangerous goods are on board, the dangerous cargo list are on file; operations may only complete once every listed box is off the vessel.</w:t>
      </w:r>
    </w:p>
    <w:p>
      <w:pPr>
        <w:pStyle w:val="ListParagraph"/>
        <w:numPr>
          <w:ilvl w:val="0"/>
          <w:numId w:val="2"/>
        </w:numPr>
        <w:spacing w:after="50" w:line="264"/>
      </w:pPr>
      <w:r>
        <w:rPr>
          <w:rFonts w:ascii="Calibri" w:cs="Calibri" w:eastAsia="Calibri" w:hAnsi="Calibri"/>
          <w:color w:val="0F1729"/>
          <w:sz w:val="21"/>
          <w:szCs w:val="21"/>
        </w:rPr>
        <w:t xml:space="preserve">An import container is released only when it is in the yard, customs is cleared, no hold is active, a valid delivery order is on file and the consignee’s charges are settled. The gate re-checks these at gate-out.</w:t>
      </w:r>
    </w:p>
    <w:p>
      <w:pPr>
        <w:pStyle w:val="ListParagraph"/>
        <w:numPr>
          <w:ilvl w:val="0"/>
          <w:numId w:val="2"/>
        </w:numPr>
        <w:spacing w:after="50" w:line="264"/>
      </w:pPr>
      <w:r>
        <w:rPr>
          <w:rFonts w:ascii="Calibri" w:cs="Calibri" w:eastAsia="Calibri" w:hAnsi="Calibri"/>
          <w:color w:val="0F1729"/>
          <w:sz w:val="21"/>
          <w:szCs w:val="21"/>
        </w:rPr>
        <w:t xml:space="preserve">Export containers are received only inside the gate window, with the seal checked, and dangerous goods only with the declaration filed; they are loaded only with a verified gross mass and customs clearance.</w:t>
      </w:r>
    </w:p>
    <w:p>
      <w:pPr>
        <w:pStyle w:val="ListParagraph"/>
        <w:numPr>
          <w:ilvl w:val="0"/>
          <w:numId w:val="2"/>
        </w:numPr>
        <w:spacing w:after="50" w:line="264"/>
      </w:pPr>
      <w:r>
        <w:rPr>
          <w:rFonts w:ascii="Calibri" w:cs="Calibri" w:eastAsia="Calibri" w:hAnsi="Calibri"/>
          <w:color w:val="0F1729"/>
          <w:sz w:val="21"/>
          <w:szCs w:val="21"/>
        </w:rPr>
        <w:t xml:space="preserve">Holds cancel any active e-token. Customs holds are lifted only by the customs status; DG holds only by filing the declaration.</w:t>
      </w:r>
    </w:p>
    <w:p>
      <w:pPr>
        <w:pStyle w:val="ListParagraph"/>
        <w:numPr>
          <w:ilvl w:val="0"/>
          <w:numId w:val="2"/>
        </w:numPr>
        <w:spacing w:after="50" w:line="264"/>
      </w:pPr>
      <w:r>
        <w:rPr>
          <w:rFonts w:ascii="Calibri" w:cs="Calibri" w:eastAsia="Calibri" w:hAnsi="Calibri"/>
          <w:color w:val="0F1729"/>
          <w:sz w:val="21"/>
          <w:szCs w:val="21"/>
        </w:rPr>
        <w:t xml:space="preserve">E-tokens are generated by registered hauliers for two-hour slots; import pick-ups carry the AED 25 fee and amendments AED 20; a token cannot be deleted after the truck enters the marshalling yard; an unused token expires after its slot.</w:t>
      </w:r>
    </w:p>
    <w:p>
      <w:pPr>
        <w:pStyle w:val="ListParagraph"/>
        <w:numPr>
          <w:ilvl w:val="0"/>
          <w:numId w:val="2"/>
        </w:numPr>
        <w:spacing w:after="50" w:line="264"/>
      </w:pPr>
      <w:r>
        <w:rPr>
          <w:rFonts w:ascii="Calibri" w:cs="Calibri" w:eastAsia="Calibri" w:hAnsi="Calibri"/>
          <w:color w:val="0F1729"/>
          <w:sz w:val="21"/>
          <w:szCs w:val="21"/>
        </w:rPr>
        <w:t xml:space="preserve">Storage for import full boxes is free for 10 days (1 for DG) from discharge and then charged per day on the published slabs; collection settles storage to the expected exit, and the gate charges any further days. Deliveries between 22:00 and 06:00 carry the overtime charge.</w:t>
      </w:r>
    </w:p>
    <w:p>
      <w:pPr>
        <w:pStyle w:val="ListParagraph"/>
        <w:numPr>
          <w:ilvl w:val="0"/>
          <w:numId w:val="2"/>
        </w:numPr>
        <w:spacing w:after="50" w:line="264"/>
      </w:pPr>
      <w:r>
        <w:rPr>
          <w:rFonts w:ascii="Calibri" w:cs="Calibri" w:eastAsia="Calibri" w:hAnsi="Calibri"/>
          <w:color w:val="0F1729"/>
          <w:sz w:val="21"/>
          <w:szCs w:val="21"/>
        </w:rPr>
        <w:t xml:space="preserve">Containers not collected within three days of vessel completion are listed for inland transfer; transfer and depot storage are charged to the consignee.</w:t>
      </w:r>
    </w:p>
    <w:p>
      <w:pPr>
        <w:pStyle w:val="ListParagraph"/>
        <w:numPr>
          <w:ilvl w:val="0"/>
          <w:numId w:val="2"/>
        </w:numPr>
        <w:spacing w:after="50" w:line="264"/>
      </w:pPr>
      <w:r>
        <w:rPr>
          <w:rFonts w:ascii="Calibri" w:cs="Calibri" w:eastAsia="Calibri" w:hAnsi="Calibri"/>
          <w:color w:val="0F1729"/>
          <w:sz w:val="21"/>
          <w:szCs w:val="21"/>
        </w:rPr>
        <w:t xml:space="preserve">Stock balances change only through ledger movements whose effects can never take a bucket negative; corrections are compensating reversals; adjustments at or above the threshold, and any request by a supervisor or worker, need a second approver who is not the requester.</w:t>
      </w:r>
    </w:p>
    <w:p>
      <w:pPr>
        <w:pStyle w:val="ListParagraph"/>
        <w:numPr>
          <w:ilvl w:val="0"/>
          <w:numId w:val="2"/>
        </w:numPr>
        <w:spacing w:after="50" w:line="264"/>
      </w:pPr>
      <w:r>
        <w:rPr>
          <w:rFonts w:ascii="Calibri" w:cs="Calibri" w:eastAsia="Calibri" w:hAnsi="Calibri"/>
          <w:color w:val="0F1729"/>
          <w:sz w:val="21"/>
          <w:szCs w:val="21"/>
        </w:rPr>
        <w:t xml:space="preserve">Outbound orders are allocated as a whole or not at all; short picks release the balance and are recorded as exceptions.</w:t>
      </w:r>
    </w:p>
    <w:p>
      <w:pPr>
        <w:pStyle w:val="ListParagraph"/>
        <w:numPr>
          <w:ilvl w:val="0"/>
          <w:numId w:val="2"/>
        </w:numPr>
        <w:spacing w:after="50" w:line="264"/>
      </w:pPr>
      <w:r>
        <w:rPr>
          <w:rFonts w:ascii="Calibri" w:cs="Calibri" w:eastAsia="Calibri" w:hAnsi="Calibri"/>
          <w:color w:val="0F1729"/>
          <w:sz w:val="21"/>
          <w:szCs w:val="21"/>
        </w:rPr>
        <w:t xml:space="preserve">Invoices follow draft, issued, partially paid, paid, overdue, cancelled; payments cannot exceed the balance or reuse a reference; full payment settles the containers on the invoice.</w:t>
      </w:r>
    </w:p>
    <w:p>
      <w:pPr>
        <w:pStyle w:val="ListParagraph"/>
        <w:numPr>
          <w:ilvl w:val="0"/>
          <w:numId w:val="2"/>
        </w:numPr>
        <w:spacing w:after="50" w:line="264"/>
      </w:pPr>
      <w:r>
        <w:rPr>
          <w:rFonts w:ascii="Calibri" w:cs="Calibri" w:eastAsia="Calibri" w:hAnsi="Calibri"/>
          <w:color w:val="0F1729"/>
          <w:sz w:val="21"/>
          <w:szCs w:val="21"/>
        </w:rPr>
        <w:t xml:space="preserve">Every location-bound operation requires the location in the user’s scope; auditors are read-only everywhere.</w:t>
      </w:r>
    </w:p>
    <w:p>
      <w:pPr>
        <w:pStyle w:val="Heading2"/>
        <w:keepNext/>
        <w:spacing w:after="80" w:before="220"/>
      </w:pPr>
      <w:bookmarkStart w:name="_Toc15" w:id="15"/>
      <w:r>
        <w:rPr>
          <w:rFonts w:ascii="Calibri" w:cs="Calibri" w:eastAsia="Calibri" w:hAnsi="Calibri"/>
          <w:b/>
          <w:bCs/>
          <w:color w:val="283F8F"/>
          <w:sz w:val="25"/>
          <w:szCs w:val="25"/>
        </w:rPr>
        <w:t xml:space="preserve">6.3 Integrity mechanisms</w:t>
      </w:r>
      <w:bookmarkEnd w:id="15"/>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3"/>
        <w:gridCol w:w="4048"/>
        <w:gridCol w:w="3277"/>
      </w:tblGrid>
      <w:tr>
        <w:trPr>
          <w:cantSplit/>
          <w:tblHeader/>
        </w:trPr>
        <w:tc>
          <w:tcPr>
            <w:tcW w:type="dxa" w:w="2313"/>
            <w:tcBorders>
              <w:top w:val="single" w:color="DDE2E7" w:sz="4"/>
              <w:left w:val="single" w:color="DDE2E7" w:sz="4"/>
              <w:bottom w:val="single" w:color="DDE2E7" w:sz="4"/>
              <w:right w:val="single" w:color="DDE2E7" w:sz="4"/>
            </w:tcBorders>
            <w:shd w:fill="F4F6F8" w:color="auto" w:val="clear"/>
            <w:tcMar>
              <w:top w:type="dxa" w:w="60"/>
              <w:left w:type="dxa" w:w="90"/>
              <w:bottom w:type="dxa" w:w="60"/>
              <w:right w:type="dxa" w:w="90"/>
            </w:tcMar>
            <w:vAlign w:val="top"/>
          </w:tcPr>
          <w:p>
            <w:pPr>
              <w:spacing w:after="0" w:line="252"/>
            </w:pPr>
            <w:r>
              <w:rPr>
                <w:rFonts w:ascii="Calibri" w:cs="Calibri" w:eastAsia="Calibri" w:hAnsi="Calibri"/>
                <w:b/>
                <w:bCs/>
                <w:color w:val="5B6576"/>
                <w:sz w:val="19"/>
                <w:szCs w:val="19"/>
              </w:rPr>
              <w:t xml:space="preserve">Requirement (SRS)</w:t>
            </w:r>
          </w:p>
        </w:tc>
        <w:tc>
          <w:tcPr>
            <w:tcW w:type="dxa" w:w="4048"/>
            <w:tcBorders>
              <w:top w:val="single" w:color="DDE2E7" w:sz="4"/>
              <w:left w:val="single" w:color="DDE2E7" w:sz="4"/>
              <w:bottom w:val="single" w:color="DDE2E7" w:sz="4"/>
              <w:right w:val="single" w:color="DDE2E7" w:sz="4"/>
            </w:tcBorders>
            <w:shd w:fill="F4F6F8" w:color="auto" w:val="clear"/>
            <w:tcMar>
              <w:top w:type="dxa" w:w="60"/>
              <w:left w:type="dxa" w:w="90"/>
              <w:bottom w:type="dxa" w:w="60"/>
              <w:right w:type="dxa" w:w="90"/>
            </w:tcMar>
            <w:vAlign w:val="top"/>
          </w:tcPr>
          <w:p>
            <w:pPr>
              <w:spacing w:after="0" w:line="252"/>
            </w:pPr>
            <w:r>
              <w:rPr>
                <w:rFonts w:ascii="Calibri" w:cs="Calibri" w:eastAsia="Calibri" w:hAnsi="Calibri"/>
                <w:b/>
                <w:bCs/>
                <w:color w:val="5B6576"/>
                <w:sz w:val="19"/>
                <w:szCs w:val="19"/>
              </w:rPr>
              <w:t xml:space="preserve">Mechanism in the prototype</w:t>
            </w:r>
          </w:p>
        </w:tc>
        <w:tc>
          <w:tcPr>
            <w:tcW w:type="dxa" w:w="3277"/>
            <w:tcBorders>
              <w:top w:val="single" w:color="DDE2E7" w:sz="4"/>
              <w:left w:val="single" w:color="DDE2E7" w:sz="4"/>
              <w:bottom w:val="single" w:color="DDE2E7" w:sz="4"/>
              <w:right w:val="single" w:color="DDE2E7" w:sz="4"/>
            </w:tcBorders>
            <w:shd w:fill="F4F6F8" w:color="auto" w:val="clear"/>
            <w:tcMar>
              <w:top w:type="dxa" w:w="60"/>
              <w:left w:type="dxa" w:w="90"/>
              <w:bottom w:type="dxa" w:w="60"/>
              <w:right w:type="dxa" w:w="90"/>
            </w:tcMar>
            <w:vAlign w:val="top"/>
          </w:tcPr>
          <w:p>
            <w:pPr>
              <w:spacing w:after="0" w:line="252"/>
            </w:pPr>
            <w:r>
              <w:rPr>
                <w:rFonts w:ascii="Calibri" w:cs="Calibri" w:eastAsia="Calibri" w:hAnsi="Calibri"/>
                <w:b/>
                <w:bCs/>
                <w:color w:val="5B6576"/>
                <w:sz w:val="19"/>
                <w:szCs w:val="19"/>
              </w:rPr>
              <w:t xml:space="preserve">In production</w:t>
            </w:r>
          </w:p>
        </w:tc>
      </w:tr>
      <w:tr>
        <w:trPr>
          <w:cantSplit/>
          <w:tblHeader w:val="off"/>
        </w:trPr>
        <w:tc>
          <w:tcPr>
            <w:tcW w:type="dxa" w:w="2313"/>
            <w:tcBorders>
              <w:top w:val="single" w:color="DDE2E7" w:sz="4"/>
              <w:left w:val="single" w:color="DDE2E7" w:sz="4"/>
              <w:bottom w:val="single" w:color="DDE2E7" w:sz="4"/>
              <w:right w:val="single" w:color="DDE2E7" w:sz="4"/>
            </w:tcBorders>
            <w:tcMar>
              <w:top w:type="dxa" w:w="60"/>
              <w:left w:type="dxa" w:w="90"/>
              <w:bottom w:type="dxa" w:w="60"/>
              <w:right w:type="dxa" w:w="90"/>
            </w:tcMar>
            <w:vAlign w:val="top"/>
          </w:tcPr>
          <w:p>
            <w:pPr>
              <w:spacing w:after="0" w:line="252"/>
            </w:pPr>
            <w:r>
              <w:rPr>
                <w:rFonts w:ascii="Calibri" w:cs="Calibri" w:eastAsia="Calibri" w:hAnsi="Calibri"/>
                <w:b w:val="false"/>
                <w:bCs w:val="false"/>
                <w:color w:val="0F1729"/>
                <w:sz w:val="19"/>
                <w:szCs w:val="19"/>
              </w:rPr>
              <w:t xml:space="preserve">Transactions for related updates</w:t>
            </w:r>
          </w:p>
        </w:tc>
        <w:tc>
          <w:tcPr>
            <w:tcW w:type="dxa" w:w="4048"/>
            <w:tcBorders>
              <w:top w:val="single" w:color="DDE2E7" w:sz="4"/>
              <w:left w:val="single" w:color="DDE2E7" w:sz="4"/>
              <w:bottom w:val="single" w:color="DDE2E7" w:sz="4"/>
              <w:right w:val="single" w:color="DDE2E7" w:sz="4"/>
            </w:tcBorders>
            <w:tcMar>
              <w:top w:type="dxa" w:w="60"/>
              <w:left w:type="dxa" w:w="90"/>
              <w:bottom w:type="dxa" w:w="60"/>
              <w:right w:type="dxa" w:w="90"/>
            </w:tcMar>
            <w:vAlign w:val="top"/>
          </w:tcPr>
          <w:p>
            <w:pPr>
              <w:spacing w:after="0" w:line="252"/>
            </w:pPr>
            <w:r>
              <w:rPr>
                <w:rFonts w:ascii="Calibri" w:cs="Calibri" w:eastAsia="Calibri" w:hAnsi="Calibri"/>
                <w:b w:val="false"/>
                <w:bCs w:val="false"/>
                <w:color w:val="0F1729"/>
                <w:sz w:val="19"/>
                <w:szCs w:val="19"/>
              </w:rPr>
              <w:t xml:space="preserve">Every service runs inside one commit on a cloned document; a thrown rule leaves the database untouched.</w:t>
            </w:r>
          </w:p>
        </w:tc>
        <w:tc>
          <w:tcPr>
            <w:tcW w:type="dxa" w:w="3277"/>
            <w:tcBorders>
              <w:top w:val="single" w:color="DDE2E7" w:sz="4"/>
              <w:left w:val="single" w:color="DDE2E7" w:sz="4"/>
              <w:bottom w:val="single" w:color="DDE2E7" w:sz="4"/>
              <w:right w:val="single" w:color="DDE2E7" w:sz="4"/>
            </w:tcBorders>
            <w:tcMar>
              <w:top w:type="dxa" w:w="60"/>
              <w:left w:type="dxa" w:w="90"/>
              <w:bottom w:type="dxa" w:w="60"/>
              <w:right w:type="dxa" w:w="90"/>
            </w:tcMar>
            <w:vAlign w:val="top"/>
          </w:tcPr>
          <w:p>
            <w:pPr>
              <w:spacing w:after="0" w:line="252"/>
            </w:pPr>
            <w:r>
              <w:rPr>
                <w:rFonts w:ascii="Calibri" w:cs="Calibri" w:eastAsia="Calibri" w:hAnsi="Calibri"/>
                <w:b w:val="false"/>
                <w:bCs w:val="false"/>
                <w:color w:val="0F1729"/>
                <w:sz w:val="19"/>
                <w:szCs w:val="19"/>
              </w:rPr>
              <w:t xml:space="preserve">PostgreSQL transactions with row-level locks on the container, balance and invoice rows.</w:t>
            </w:r>
          </w:p>
        </w:tc>
      </w:tr>
      <w:tr>
        <w:trPr>
          <w:cantSplit/>
          <w:tblHeader w:val="off"/>
        </w:trPr>
        <w:tc>
          <w:tcPr>
            <w:tcW w:type="dxa" w:w="2313"/>
            <w:tcBorders>
              <w:top w:val="single" w:color="DDE2E7" w:sz="4"/>
              <w:left w:val="single" w:color="DDE2E7" w:sz="4"/>
              <w:bottom w:val="single" w:color="DDE2E7" w:sz="4"/>
              <w:right w:val="single" w:color="DDE2E7" w:sz="4"/>
            </w:tcBorders>
            <w:tcMar>
              <w:top w:type="dxa" w:w="60"/>
              <w:left w:type="dxa" w:w="90"/>
              <w:bottom w:type="dxa" w:w="60"/>
              <w:right w:type="dxa" w:w="90"/>
            </w:tcMar>
            <w:vAlign w:val="top"/>
          </w:tcPr>
          <w:p>
            <w:pPr>
              <w:spacing w:after="0" w:line="252"/>
            </w:pPr>
            <w:r>
              <w:rPr>
                <w:rFonts w:ascii="Calibri" w:cs="Calibri" w:eastAsia="Calibri" w:hAnsi="Calibri"/>
                <w:b w:val="false"/>
                <w:bCs w:val="false"/>
                <w:color w:val="0F1729"/>
                <w:sz w:val="19"/>
                <w:szCs w:val="19"/>
              </w:rPr>
              <w:t xml:space="preserve">Idempotency for critical operations</w:t>
            </w:r>
          </w:p>
        </w:tc>
        <w:tc>
          <w:tcPr>
            <w:tcW w:type="dxa" w:w="4048"/>
            <w:tcBorders>
              <w:top w:val="single" w:color="DDE2E7" w:sz="4"/>
              <w:left w:val="single" w:color="DDE2E7" w:sz="4"/>
              <w:bottom w:val="single" w:color="DDE2E7" w:sz="4"/>
              <w:right w:val="single" w:color="DDE2E7" w:sz="4"/>
            </w:tcBorders>
            <w:tcMar>
              <w:top w:type="dxa" w:w="60"/>
              <w:left w:type="dxa" w:w="90"/>
              <w:bottom w:type="dxa" w:w="60"/>
              <w:right w:type="dxa" w:w="90"/>
            </w:tcMar>
            <w:vAlign w:val="top"/>
          </w:tcPr>
          <w:p>
            <w:pPr>
              <w:spacing w:after="0" w:line="252"/>
            </w:pPr>
            <w:r>
              <w:rPr>
                <w:rFonts w:ascii="Calibri" w:cs="Calibri" w:eastAsia="Calibri" w:hAnsi="Calibri"/>
                <w:b w:val="false"/>
                <w:bCs w:val="false"/>
                <w:color w:val="0F1729"/>
                <w:sz w:val="19"/>
                <w:szCs w:val="19"/>
              </w:rPr>
              <w:t xml:space="preserve">Discharge, load, gate-in, gate-out, shifts, receiving, picking and transfers take a client key; a repeat returns the first result.</w:t>
            </w:r>
          </w:p>
        </w:tc>
        <w:tc>
          <w:tcPr>
            <w:tcW w:type="dxa" w:w="3277"/>
            <w:tcBorders>
              <w:top w:val="single" w:color="DDE2E7" w:sz="4"/>
              <w:left w:val="single" w:color="DDE2E7" w:sz="4"/>
              <w:bottom w:val="single" w:color="DDE2E7" w:sz="4"/>
              <w:right w:val="single" w:color="DDE2E7" w:sz="4"/>
            </w:tcBorders>
            <w:tcMar>
              <w:top w:type="dxa" w:w="60"/>
              <w:left w:type="dxa" w:w="90"/>
              <w:bottom w:type="dxa" w:w="60"/>
              <w:right w:type="dxa" w:w="90"/>
            </w:tcMar>
            <w:vAlign w:val="top"/>
          </w:tcPr>
          <w:p>
            <w:pPr>
              <w:spacing w:after="0" w:line="252"/>
            </w:pPr>
            <w:r>
              <w:rPr>
                <w:rFonts w:ascii="Calibri" w:cs="Calibri" w:eastAsia="Calibri" w:hAnsi="Calibri"/>
                <w:b w:val="false"/>
                <w:bCs w:val="false"/>
                <w:color w:val="0F1729"/>
                <w:sz w:val="19"/>
                <w:szCs w:val="19"/>
              </w:rPr>
              <w:t xml:space="preserve">DynamoDB conditional put on the key with a 24-hour TTL before the transaction.</w:t>
            </w:r>
          </w:p>
        </w:tc>
      </w:tr>
      <w:tr>
        <w:trPr>
          <w:cantSplit/>
          <w:tblHeader w:val="off"/>
        </w:trPr>
        <w:tc>
          <w:tcPr>
            <w:tcW w:type="dxa" w:w="2313"/>
            <w:tcBorders>
              <w:top w:val="single" w:color="DDE2E7" w:sz="4"/>
              <w:left w:val="single" w:color="DDE2E7" w:sz="4"/>
              <w:bottom w:val="single" w:color="DDE2E7" w:sz="4"/>
              <w:right w:val="single" w:color="DDE2E7" w:sz="4"/>
            </w:tcBorders>
            <w:tcMar>
              <w:top w:type="dxa" w:w="60"/>
              <w:left w:type="dxa" w:w="90"/>
              <w:bottom w:type="dxa" w:w="60"/>
              <w:right w:type="dxa" w:w="90"/>
            </w:tcMar>
            <w:vAlign w:val="top"/>
          </w:tcPr>
          <w:p>
            <w:pPr>
              <w:spacing w:after="0" w:line="252"/>
            </w:pPr>
            <w:r>
              <w:rPr>
                <w:rFonts w:ascii="Calibri" w:cs="Calibri" w:eastAsia="Calibri" w:hAnsi="Calibri"/>
                <w:b w:val="false"/>
                <w:bCs w:val="false"/>
                <w:color w:val="0F1729"/>
                <w:sz w:val="19"/>
                <w:szCs w:val="19"/>
              </w:rPr>
              <w:t xml:space="preserve">Optimistic concurrency</w:t>
            </w:r>
          </w:p>
        </w:tc>
        <w:tc>
          <w:tcPr>
            <w:tcW w:type="dxa" w:w="4048"/>
            <w:tcBorders>
              <w:top w:val="single" w:color="DDE2E7" w:sz="4"/>
              <w:left w:val="single" w:color="DDE2E7" w:sz="4"/>
              <w:bottom w:val="single" w:color="DDE2E7" w:sz="4"/>
              <w:right w:val="single" w:color="DDE2E7" w:sz="4"/>
            </w:tcBorders>
            <w:tcMar>
              <w:top w:type="dxa" w:w="60"/>
              <w:left w:type="dxa" w:w="90"/>
              <w:bottom w:type="dxa" w:w="60"/>
              <w:right w:type="dxa" w:w="90"/>
            </w:tcMar>
            <w:vAlign w:val="top"/>
          </w:tcPr>
          <w:p>
            <w:pPr>
              <w:spacing w:after="0" w:line="252"/>
            </w:pPr>
            <w:r>
              <w:rPr>
                <w:rFonts w:ascii="Calibri" w:cs="Calibri" w:eastAsia="Calibri" w:hAnsi="Calibri"/>
                <w:b w:val="false"/>
                <w:bCs w:val="false"/>
                <w:color w:val="0F1729"/>
                <w:sz w:val="19"/>
                <w:szCs w:val="19"/>
              </w:rPr>
              <w:t xml:space="preserve">Version numbers on calls, containers, jobs, orders and invoices; an edit with a stale version is refused with a clear message.</w:t>
            </w:r>
          </w:p>
        </w:tc>
        <w:tc>
          <w:tcPr>
            <w:tcW w:type="dxa" w:w="3277"/>
            <w:tcBorders>
              <w:top w:val="single" w:color="DDE2E7" w:sz="4"/>
              <w:left w:val="single" w:color="DDE2E7" w:sz="4"/>
              <w:bottom w:val="single" w:color="DDE2E7" w:sz="4"/>
              <w:right w:val="single" w:color="DDE2E7" w:sz="4"/>
            </w:tcBorders>
            <w:tcMar>
              <w:top w:type="dxa" w:w="60"/>
              <w:left w:type="dxa" w:w="90"/>
              <w:bottom w:type="dxa" w:w="60"/>
              <w:right w:type="dxa" w:w="90"/>
            </w:tcMar>
            <w:vAlign w:val="top"/>
          </w:tcPr>
          <w:p>
            <w:pPr>
              <w:spacing w:after="0" w:line="252"/>
            </w:pPr>
            <w:r>
              <w:rPr>
                <w:rFonts w:ascii="Calibri" w:cs="Calibri" w:eastAsia="Calibri" w:hAnsi="Calibri"/>
                <w:b w:val="false"/>
                <w:bCs w:val="false"/>
                <w:color w:val="0F1729"/>
                <w:sz w:val="19"/>
                <w:szCs w:val="19"/>
              </w:rPr>
              <w:t xml:space="preserve">Same versions as a column; conflict returns HTTP 409.</w:t>
            </w:r>
          </w:p>
        </w:tc>
      </w:tr>
      <w:tr>
        <w:trPr>
          <w:cantSplit/>
          <w:tblHeader w:val="off"/>
        </w:trPr>
        <w:tc>
          <w:tcPr>
            <w:tcW w:type="dxa" w:w="2313"/>
            <w:tcBorders>
              <w:top w:val="single" w:color="DDE2E7" w:sz="4"/>
              <w:left w:val="single" w:color="DDE2E7" w:sz="4"/>
              <w:bottom w:val="single" w:color="DDE2E7" w:sz="4"/>
              <w:right w:val="single" w:color="DDE2E7" w:sz="4"/>
            </w:tcBorders>
            <w:tcMar>
              <w:top w:type="dxa" w:w="60"/>
              <w:left w:type="dxa" w:w="90"/>
              <w:bottom w:type="dxa" w:w="60"/>
              <w:right w:type="dxa" w:w="90"/>
            </w:tcMar>
            <w:vAlign w:val="top"/>
          </w:tcPr>
          <w:p>
            <w:pPr>
              <w:spacing w:after="0" w:line="252"/>
            </w:pPr>
            <w:r>
              <w:rPr>
                <w:rFonts w:ascii="Calibri" w:cs="Calibri" w:eastAsia="Calibri" w:hAnsi="Calibri"/>
                <w:b w:val="false"/>
                <w:bCs w:val="false"/>
                <w:color w:val="0F1729"/>
                <w:sz w:val="19"/>
                <w:szCs w:val="19"/>
              </w:rPr>
              <w:t xml:space="preserve">Transactional outbox</w:t>
            </w:r>
          </w:p>
        </w:tc>
        <w:tc>
          <w:tcPr>
            <w:tcW w:type="dxa" w:w="4048"/>
            <w:tcBorders>
              <w:top w:val="single" w:color="DDE2E7" w:sz="4"/>
              <w:left w:val="single" w:color="DDE2E7" w:sz="4"/>
              <w:bottom w:val="single" w:color="DDE2E7" w:sz="4"/>
              <w:right w:val="single" w:color="DDE2E7" w:sz="4"/>
            </w:tcBorders>
            <w:tcMar>
              <w:top w:type="dxa" w:w="60"/>
              <w:left w:type="dxa" w:w="90"/>
              <w:bottom w:type="dxa" w:w="60"/>
              <w:right w:type="dxa" w:w="90"/>
            </w:tcMar>
            <w:vAlign w:val="top"/>
          </w:tcPr>
          <w:p>
            <w:pPr>
              <w:spacing w:after="0" w:line="252"/>
            </w:pPr>
            <w:r>
              <w:rPr>
                <w:rFonts w:ascii="Calibri" w:cs="Calibri" w:eastAsia="Calibri" w:hAnsi="Calibri"/>
                <w:b w:val="false"/>
                <w:bCs w:val="false"/>
                <w:color w:val="0F1729"/>
                <w:sz w:val="19"/>
                <w:szCs w:val="19"/>
              </w:rPr>
              <w:t xml:space="preserve">Notifications and domain events are appended in the same commit; a worker publishes them after the commit.</w:t>
            </w:r>
          </w:p>
        </w:tc>
        <w:tc>
          <w:tcPr>
            <w:tcW w:type="dxa" w:w="3277"/>
            <w:tcBorders>
              <w:top w:val="single" w:color="DDE2E7" w:sz="4"/>
              <w:left w:val="single" w:color="DDE2E7" w:sz="4"/>
              <w:bottom w:val="single" w:color="DDE2E7" w:sz="4"/>
              <w:right w:val="single" w:color="DDE2E7" w:sz="4"/>
            </w:tcBorders>
            <w:tcMar>
              <w:top w:type="dxa" w:w="60"/>
              <w:left w:type="dxa" w:w="90"/>
              <w:bottom w:type="dxa" w:w="60"/>
              <w:right w:type="dxa" w:w="90"/>
            </w:tcMar>
            <w:vAlign w:val="top"/>
          </w:tcPr>
          <w:p>
            <w:pPr>
              <w:spacing w:after="0" w:line="252"/>
            </w:pPr>
            <w:r>
              <w:rPr>
                <w:rFonts w:ascii="Calibri" w:cs="Calibri" w:eastAsia="Calibri" w:hAnsi="Calibri"/>
                <w:b w:val="false"/>
                <w:bCs w:val="false"/>
                <w:color w:val="0F1729"/>
                <w:sz w:val="19"/>
                <w:szCs w:val="19"/>
              </w:rPr>
              <w:t xml:space="preserve">Outbox table in PostgreSQL drained to EventBridge by a Lambda on a schedule and on commit.</w:t>
            </w:r>
          </w:p>
        </w:tc>
      </w:tr>
      <w:tr>
        <w:trPr>
          <w:cantSplit/>
          <w:tblHeader w:val="off"/>
        </w:trPr>
        <w:tc>
          <w:tcPr>
            <w:tcW w:type="dxa" w:w="2313"/>
            <w:tcBorders>
              <w:top w:val="single" w:color="DDE2E7" w:sz="4"/>
              <w:left w:val="single" w:color="DDE2E7" w:sz="4"/>
              <w:bottom w:val="single" w:color="DDE2E7" w:sz="4"/>
              <w:right w:val="single" w:color="DDE2E7" w:sz="4"/>
            </w:tcBorders>
            <w:tcMar>
              <w:top w:type="dxa" w:w="60"/>
              <w:left w:type="dxa" w:w="90"/>
              <w:bottom w:type="dxa" w:w="60"/>
              <w:right w:type="dxa" w:w="90"/>
            </w:tcMar>
            <w:vAlign w:val="top"/>
          </w:tcPr>
          <w:p>
            <w:pPr>
              <w:spacing w:after="0" w:line="252"/>
            </w:pPr>
            <w:r>
              <w:rPr>
                <w:rFonts w:ascii="Calibri" w:cs="Calibri" w:eastAsia="Calibri" w:hAnsi="Calibri"/>
                <w:b w:val="false"/>
                <w:bCs w:val="false"/>
                <w:color w:val="0F1729"/>
                <w:sz w:val="19"/>
                <w:szCs w:val="19"/>
              </w:rPr>
              <w:t xml:space="preserve">Offline operations</w:t>
            </w:r>
          </w:p>
        </w:tc>
        <w:tc>
          <w:tcPr>
            <w:tcW w:type="dxa" w:w="4048"/>
            <w:tcBorders>
              <w:top w:val="single" w:color="DDE2E7" w:sz="4"/>
              <w:left w:val="single" w:color="DDE2E7" w:sz="4"/>
              <w:bottom w:val="single" w:color="DDE2E7" w:sz="4"/>
              <w:right w:val="single" w:color="DDE2E7" w:sz="4"/>
            </w:tcBorders>
            <w:tcMar>
              <w:top w:type="dxa" w:w="60"/>
              <w:left w:type="dxa" w:w="90"/>
              <w:bottom w:type="dxa" w:w="60"/>
              <w:right w:type="dxa" w:w="90"/>
            </w:tcMar>
            <w:vAlign w:val="top"/>
          </w:tcPr>
          <w:p>
            <w:pPr>
              <w:spacing w:after="0" w:line="252"/>
            </w:pPr>
            <w:r>
              <w:rPr>
                <w:rFonts w:ascii="Calibri" w:cs="Calibri" w:eastAsia="Calibri" w:hAnsi="Calibri"/>
                <w:b w:val="false"/>
                <w:bCs w:val="false"/>
                <w:color w:val="0F1729"/>
                <w:sz w:val="19"/>
                <w:szCs w:val="19"/>
              </w:rPr>
              <w:t xml:space="preserve">Gate and warehouse screens queue operations with client-generated references; sync replays each through the normal service; rejections wait for reconciliation.</w:t>
            </w:r>
          </w:p>
        </w:tc>
        <w:tc>
          <w:tcPr>
            <w:tcW w:type="dxa" w:w="3277"/>
            <w:tcBorders>
              <w:top w:val="single" w:color="DDE2E7" w:sz="4"/>
              <w:left w:val="single" w:color="DDE2E7" w:sz="4"/>
              <w:bottom w:val="single" w:color="DDE2E7" w:sz="4"/>
              <w:right w:val="single" w:color="DDE2E7" w:sz="4"/>
            </w:tcBorders>
            <w:tcMar>
              <w:top w:type="dxa" w:w="60"/>
              <w:left w:type="dxa" w:w="90"/>
              <w:bottom w:type="dxa" w:w="60"/>
              <w:right w:type="dxa" w:w="90"/>
            </w:tcMar>
            <w:vAlign w:val="top"/>
          </w:tcPr>
          <w:p>
            <w:pPr>
              <w:spacing w:after="0" w:line="252"/>
            </w:pPr>
            <w:r>
              <w:rPr>
                <w:rFonts w:ascii="Calibri" w:cs="Calibri" w:eastAsia="Calibri" w:hAnsi="Calibri"/>
                <w:b w:val="false"/>
                <w:bCs w:val="false"/>
                <w:color w:val="0F1729"/>
                <w:sz w:val="19"/>
                <w:szCs w:val="19"/>
              </w:rPr>
              <w:t xml:space="preserve">Same client model; replay via the idempotent APIs; queue state in DynamoDB.</w:t>
            </w:r>
          </w:p>
        </w:tc>
      </w:tr>
      <w:tr>
        <w:trPr>
          <w:cantSplit/>
          <w:tblHeader w:val="off"/>
        </w:trPr>
        <w:tc>
          <w:tcPr>
            <w:tcW w:type="dxa" w:w="2313"/>
            <w:tcBorders>
              <w:top w:val="single" w:color="DDE2E7" w:sz="4"/>
              <w:left w:val="single" w:color="DDE2E7" w:sz="4"/>
              <w:bottom w:val="single" w:color="DDE2E7" w:sz="4"/>
              <w:right w:val="single" w:color="DDE2E7" w:sz="4"/>
            </w:tcBorders>
            <w:tcMar>
              <w:top w:type="dxa" w:w="60"/>
              <w:left w:type="dxa" w:w="90"/>
              <w:bottom w:type="dxa" w:w="60"/>
              <w:right w:type="dxa" w:w="90"/>
            </w:tcMar>
            <w:vAlign w:val="top"/>
          </w:tcPr>
          <w:p>
            <w:pPr>
              <w:spacing w:after="0" w:line="252"/>
            </w:pPr>
            <w:r>
              <w:rPr>
                <w:rFonts w:ascii="Calibri" w:cs="Calibri" w:eastAsia="Calibri" w:hAnsi="Calibri"/>
                <w:b w:val="false"/>
                <w:bCs w:val="false"/>
                <w:color w:val="0F1729"/>
                <w:sz w:val="19"/>
                <w:szCs w:val="19"/>
              </w:rPr>
              <w:t xml:space="preserve">Duplicate-event detection</w:t>
            </w:r>
          </w:p>
        </w:tc>
        <w:tc>
          <w:tcPr>
            <w:tcW w:type="dxa" w:w="4048"/>
            <w:tcBorders>
              <w:top w:val="single" w:color="DDE2E7" w:sz="4"/>
              <w:left w:val="single" w:color="DDE2E7" w:sz="4"/>
              <w:bottom w:val="single" w:color="DDE2E7" w:sz="4"/>
              <w:right w:val="single" w:color="DDE2E7" w:sz="4"/>
            </w:tcBorders>
            <w:tcMar>
              <w:top w:type="dxa" w:w="60"/>
              <w:left w:type="dxa" w:w="90"/>
              <w:bottom w:type="dxa" w:w="60"/>
              <w:right w:type="dxa" w:w="90"/>
            </w:tcMar>
            <w:vAlign w:val="top"/>
          </w:tcPr>
          <w:p>
            <w:pPr>
              <w:spacing w:after="0" w:line="252"/>
            </w:pPr>
            <w:r>
              <w:rPr>
                <w:rFonts w:ascii="Calibri" w:cs="Calibri" w:eastAsia="Calibri" w:hAnsi="Calibri"/>
                <w:b w:val="false"/>
                <w:bCs w:val="false"/>
                <w:color w:val="0F1729"/>
                <w:sz w:val="19"/>
                <w:szCs w:val="19"/>
              </w:rPr>
              <w:t xml:space="preserve">Inbound messages are keyed by provider and event id; duplicates are recorded and ignored; failures are recorded without touching committed data.</w:t>
            </w:r>
          </w:p>
        </w:tc>
        <w:tc>
          <w:tcPr>
            <w:tcW w:type="dxa" w:w="3277"/>
            <w:tcBorders>
              <w:top w:val="single" w:color="DDE2E7" w:sz="4"/>
              <w:left w:val="single" w:color="DDE2E7" w:sz="4"/>
              <w:bottom w:val="single" w:color="DDE2E7" w:sz="4"/>
              <w:right w:val="single" w:color="DDE2E7" w:sz="4"/>
            </w:tcBorders>
            <w:tcMar>
              <w:top w:type="dxa" w:w="60"/>
              <w:left w:type="dxa" w:w="90"/>
              <w:bottom w:type="dxa" w:w="60"/>
              <w:right w:type="dxa" w:w="90"/>
            </w:tcMar>
            <w:vAlign w:val="top"/>
          </w:tcPr>
          <w:p>
            <w:pPr>
              <w:spacing w:after="0" w:line="252"/>
            </w:pPr>
            <w:r>
              <w:rPr>
                <w:rFonts w:ascii="Calibri" w:cs="Calibri" w:eastAsia="Calibri" w:hAnsi="Calibri"/>
                <w:b w:val="false"/>
                <w:bCs w:val="false"/>
                <w:color w:val="0F1729"/>
                <w:sz w:val="19"/>
                <w:szCs w:val="19"/>
              </w:rPr>
              <w:t xml:space="preserve">Unique index on (provider, event id) in PostgreSQL plus the MongoDB message archive.</w:t>
            </w:r>
          </w:p>
        </w:tc>
      </w:tr>
      <w:tr>
        <w:trPr>
          <w:cantSplit/>
          <w:tblHeader w:val="off"/>
        </w:trPr>
        <w:tc>
          <w:tcPr>
            <w:tcW w:type="dxa" w:w="2313"/>
            <w:tcBorders>
              <w:top w:val="single" w:color="DDE2E7" w:sz="4"/>
              <w:left w:val="single" w:color="DDE2E7" w:sz="4"/>
              <w:bottom w:val="single" w:color="DDE2E7" w:sz="4"/>
              <w:right w:val="single" w:color="DDE2E7" w:sz="4"/>
            </w:tcBorders>
            <w:tcMar>
              <w:top w:type="dxa" w:w="60"/>
              <w:left w:type="dxa" w:w="90"/>
              <w:bottom w:type="dxa" w:w="60"/>
              <w:right w:type="dxa" w:w="90"/>
            </w:tcMar>
            <w:vAlign w:val="top"/>
          </w:tcPr>
          <w:p>
            <w:pPr>
              <w:spacing w:after="0" w:line="252"/>
            </w:pPr>
            <w:r>
              <w:rPr>
                <w:rFonts w:ascii="Calibri" w:cs="Calibri" w:eastAsia="Calibri" w:hAnsi="Calibri"/>
                <w:b w:val="false"/>
                <w:bCs w:val="false"/>
                <w:color w:val="0F1729"/>
                <w:sz w:val="19"/>
                <w:szCs w:val="19"/>
              </w:rPr>
              <w:t xml:space="preserve">Audit</w:t>
            </w:r>
          </w:p>
        </w:tc>
        <w:tc>
          <w:tcPr>
            <w:tcW w:type="dxa" w:w="4048"/>
            <w:tcBorders>
              <w:top w:val="single" w:color="DDE2E7" w:sz="4"/>
              <w:left w:val="single" w:color="DDE2E7" w:sz="4"/>
              <w:bottom w:val="single" w:color="DDE2E7" w:sz="4"/>
              <w:right w:val="single" w:color="DDE2E7" w:sz="4"/>
            </w:tcBorders>
            <w:tcMar>
              <w:top w:type="dxa" w:w="60"/>
              <w:left w:type="dxa" w:w="90"/>
              <w:bottom w:type="dxa" w:w="60"/>
              <w:right w:type="dxa" w:w="90"/>
            </w:tcMar>
            <w:vAlign w:val="top"/>
          </w:tcPr>
          <w:p>
            <w:pPr>
              <w:spacing w:after="0" w:line="252"/>
            </w:pPr>
            <w:r>
              <w:rPr>
                <w:rFonts w:ascii="Calibri" w:cs="Calibri" w:eastAsia="Calibri" w:hAnsi="Calibri"/>
                <w:b w:val="false"/>
                <w:bCs w:val="false"/>
                <w:color w:val="0F1729"/>
                <w:sz w:val="19"/>
                <w:szCs w:val="19"/>
              </w:rPr>
              <w:t xml:space="preserve">Append-only entries with actor, entity, before and after, reason, request id.</w:t>
            </w:r>
          </w:p>
        </w:tc>
        <w:tc>
          <w:tcPr>
            <w:tcW w:type="dxa" w:w="3277"/>
            <w:tcBorders>
              <w:top w:val="single" w:color="DDE2E7" w:sz="4"/>
              <w:left w:val="single" w:color="DDE2E7" w:sz="4"/>
              <w:bottom w:val="single" w:color="DDE2E7" w:sz="4"/>
              <w:right w:val="single" w:color="DDE2E7" w:sz="4"/>
            </w:tcBorders>
            <w:tcMar>
              <w:top w:type="dxa" w:w="60"/>
              <w:left w:type="dxa" w:w="90"/>
              <w:bottom w:type="dxa" w:w="60"/>
              <w:right w:type="dxa" w:w="90"/>
            </w:tcMar>
            <w:vAlign w:val="top"/>
          </w:tcPr>
          <w:p>
            <w:pPr>
              <w:spacing w:after="0" w:line="252"/>
            </w:pPr>
            <w:r>
              <w:rPr>
                <w:rFonts w:ascii="Calibri" w:cs="Calibri" w:eastAsia="Calibri" w:hAnsi="Calibri"/>
                <w:b w:val="false"/>
                <w:bCs w:val="false"/>
                <w:color w:val="0F1729"/>
                <w:sz w:val="19"/>
                <w:szCs w:val="19"/>
              </w:rPr>
              <w:t xml:space="preserve">Append-only table with hash chaining; copies to immutable S3 Object Lock storage nightly.</w:t>
            </w:r>
          </w:p>
        </w:tc>
      </w:tr>
    </w:tbl>
    <w:p>
      <w:pPr>
        <w:pStyle w:val="Heading1"/>
        <w:keepNext/>
        <w:spacing w:after="120" w:before="280"/>
      </w:pPr>
      <w:bookmarkStart w:name="_Toc16" w:id="16"/>
      <w:r>
        <w:rPr>
          <w:rFonts w:ascii="Calibri" w:cs="Calibri" w:eastAsia="Calibri" w:hAnsi="Calibri"/>
          <w:b/>
          <w:bCs/>
          <w:color w:val="0F1729"/>
          <w:sz w:val="32"/>
          <w:szCs w:val="32"/>
        </w:rPr>
        <w:t xml:space="preserve">7. Prototype architecture</w:t>
      </w:r>
      <w:bookmarkEnd w:id="16"/>
    </w:p>
    <w:p>
      <w:pPr>
        <w:spacing w:after="100" w:before="0" w:line="264"/>
      </w:pPr>
      <w:r>
        <w:rPr>
          <w:rFonts w:ascii="Calibri" w:cs="Calibri" w:eastAsia="Calibri" w:hAnsi="Calibri"/>
          <w:color w:val="0F1729"/>
          <w:sz w:val="21"/>
          <w:szCs w:val="21"/>
        </w:rPr>
        <w:t xml:space="preserve">The prototype is a Next.js 16 application (React 19, TypeScript, Tailwind CSS v4, framer-motion, recharts) with no backend. The operations database is one document persisted to the browser’s local storage and seeded on first use. This was a deliberate choice: it let me put the whole business model in front of users in one month, and it isolates the part that will change in production (persistence and transport) from the part that will not (the domain model, rules and screens).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35"/>
        <w:gridCol w:w="2891"/>
        <w:gridCol w:w="5012"/>
      </w:tblGrid>
      <w:tr>
        <w:trPr>
          <w:cantSplit/>
          <w:tblHeader/>
        </w:trPr>
        <w:tc>
          <w:tcPr>
            <w:tcW w:type="dxa" w:w="1735"/>
            <w:tcBorders>
              <w:top w:val="single" w:color="DDE2E7" w:sz="4"/>
              <w:left w:val="single" w:color="DDE2E7" w:sz="4"/>
              <w:bottom w:val="single" w:color="DDE2E7" w:sz="4"/>
              <w:right w:val="single" w:color="DDE2E7" w:sz="4"/>
            </w:tcBorders>
            <w:shd w:fill="F4F6F8" w:color="auto" w:val="clear"/>
            <w:tcMar>
              <w:top w:type="dxa" w:w="60"/>
              <w:left w:type="dxa" w:w="90"/>
              <w:bottom w:type="dxa" w:w="60"/>
              <w:right w:type="dxa" w:w="90"/>
            </w:tcMar>
            <w:vAlign w:val="top"/>
          </w:tcPr>
          <w:p>
            <w:pPr>
              <w:spacing w:after="0" w:line="252"/>
            </w:pPr>
            <w:r>
              <w:rPr>
                <w:rFonts w:ascii="Calibri" w:cs="Calibri" w:eastAsia="Calibri" w:hAnsi="Calibri"/>
                <w:b/>
                <w:bCs/>
                <w:color w:val="5B6576"/>
                <w:sz w:val="19"/>
                <w:szCs w:val="19"/>
              </w:rPr>
              <w:t xml:space="preserve">Layer</w:t>
            </w:r>
          </w:p>
        </w:tc>
        <w:tc>
          <w:tcPr>
            <w:tcW w:type="dxa" w:w="2891"/>
            <w:tcBorders>
              <w:top w:val="single" w:color="DDE2E7" w:sz="4"/>
              <w:left w:val="single" w:color="DDE2E7" w:sz="4"/>
              <w:bottom w:val="single" w:color="DDE2E7" w:sz="4"/>
              <w:right w:val="single" w:color="DDE2E7" w:sz="4"/>
            </w:tcBorders>
            <w:shd w:fill="F4F6F8" w:color="auto" w:val="clear"/>
            <w:tcMar>
              <w:top w:type="dxa" w:w="60"/>
              <w:left w:type="dxa" w:w="90"/>
              <w:bottom w:type="dxa" w:w="60"/>
              <w:right w:type="dxa" w:w="90"/>
            </w:tcMar>
            <w:vAlign w:val="top"/>
          </w:tcPr>
          <w:p>
            <w:pPr>
              <w:spacing w:after="0" w:line="252"/>
            </w:pPr>
            <w:r>
              <w:rPr>
                <w:rFonts w:ascii="Calibri" w:cs="Calibri" w:eastAsia="Calibri" w:hAnsi="Calibri"/>
                <w:b/>
                <w:bCs/>
                <w:color w:val="5B6576"/>
                <w:sz w:val="19"/>
                <w:szCs w:val="19"/>
              </w:rPr>
              <w:t xml:space="preserve">Location</w:t>
            </w:r>
          </w:p>
        </w:tc>
        <w:tc>
          <w:tcPr>
            <w:tcW w:type="dxa" w:w="5012"/>
            <w:tcBorders>
              <w:top w:val="single" w:color="DDE2E7" w:sz="4"/>
              <w:left w:val="single" w:color="DDE2E7" w:sz="4"/>
              <w:bottom w:val="single" w:color="DDE2E7" w:sz="4"/>
              <w:right w:val="single" w:color="DDE2E7" w:sz="4"/>
            </w:tcBorders>
            <w:shd w:fill="F4F6F8" w:color="auto" w:val="clear"/>
            <w:tcMar>
              <w:top w:type="dxa" w:w="60"/>
              <w:left w:type="dxa" w:w="90"/>
              <w:bottom w:type="dxa" w:w="60"/>
              <w:right w:type="dxa" w:w="90"/>
            </w:tcMar>
            <w:vAlign w:val="top"/>
          </w:tcPr>
          <w:p>
            <w:pPr>
              <w:spacing w:after="0" w:line="252"/>
            </w:pPr>
            <w:r>
              <w:rPr>
                <w:rFonts w:ascii="Calibri" w:cs="Calibri" w:eastAsia="Calibri" w:hAnsi="Calibri"/>
                <w:b/>
                <w:bCs/>
                <w:color w:val="5B6576"/>
                <w:sz w:val="19"/>
                <w:szCs w:val="19"/>
              </w:rPr>
              <w:t xml:space="preserve">Responsibility</w:t>
            </w:r>
          </w:p>
        </w:tc>
      </w:tr>
      <w:tr>
        <w:trPr>
          <w:cantSplit/>
          <w:tblHeader w:val="off"/>
        </w:trPr>
        <w:tc>
          <w:tcPr>
            <w:tcW w:type="dxa" w:w="1735"/>
            <w:tcBorders>
              <w:top w:val="single" w:color="DDE2E7" w:sz="4"/>
              <w:left w:val="single" w:color="DDE2E7" w:sz="4"/>
              <w:bottom w:val="single" w:color="DDE2E7" w:sz="4"/>
              <w:right w:val="single" w:color="DDE2E7" w:sz="4"/>
            </w:tcBorders>
            <w:tcMar>
              <w:top w:type="dxa" w:w="60"/>
              <w:left w:type="dxa" w:w="90"/>
              <w:bottom w:type="dxa" w:w="60"/>
              <w:right w:type="dxa" w:w="90"/>
            </w:tcMar>
            <w:vAlign w:val="top"/>
          </w:tcPr>
          <w:p>
            <w:pPr>
              <w:spacing w:after="0" w:line="252"/>
            </w:pPr>
            <w:r>
              <w:rPr>
                <w:rFonts w:ascii="Calibri" w:cs="Calibri" w:eastAsia="Calibri" w:hAnsi="Calibri"/>
                <w:b w:val="false"/>
                <w:bCs w:val="false"/>
                <w:color w:val="0F1729"/>
                <w:sz w:val="19"/>
                <w:szCs w:val="19"/>
              </w:rPr>
              <w:t xml:space="preserve">Domain model</w:t>
            </w:r>
          </w:p>
        </w:tc>
        <w:tc>
          <w:tcPr>
            <w:tcW w:type="dxa" w:w="2891"/>
            <w:tcBorders>
              <w:top w:val="single" w:color="DDE2E7" w:sz="4"/>
              <w:left w:val="single" w:color="DDE2E7" w:sz="4"/>
              <w:bottom w:val="single" w:color="DDE2E7" w:sz="4"/>
              <w:right w:val="single" w:color="DDE2E7" w:sz="4"/>
            </w:tcBorders>
            <w:tcMar>
              <w:top w:type="dxa" w:w="60"/>
              <w:left w:type="dxa" w:w="90"/>
              <w:bottom w:type="dxa" w:w="60"/>
              <w:right w:type="dxa" w:w="90"/>
            </w:tcMar>
            <w:vAlign w:val="top"/>
          </w:tcPr>
          <w:p>
            <w:pPr>
              <w:spacing w:after="0" w:line="252"/>
            </w:pPr>
            <w:r>
              <w:rPr>
                <w:rFonts w:ascii="Calibri" w:cs="Calibri" w:eastAsia="Calibri" w:hAnsi="Calibri"/>
                <w:b w:val="false"/>
                <w:bCs w:val="false"/>
                <w:color w:val="0F1729"/>
                <w:sz w:val="19"/>
                <w:szCs w:val="19"/>
              </w:rPr>
              <w:t xml:space="preserve">lib/ops/types.ts</w:t>
            </w:r>
          </w:p>
        </w:tc>
        <w:tc>
          <w:tcPr>
            <w:tcW w:type="dxa" w:w="5012"/>
            <w:tcBorders>
              <w:top w:val="single" w:color="DDE2E7" w:sz="4"/>
              <w:left w:val="single" w:color="DDE2E7" w:sz="4"/>
              <w:bottom w:val="single" w:color="DDE2E7" w:sz="4"/>
              <w:right w:val="single" w:color="DDE2E7" w:sz="4"/>
            </w:tcBorders>
            <w:tcMar>
              <w:top w:type="dxa" w:w="60"/>
              <w:left w:type="dxa" w:w="90"/>
              <w:bottom w:type="dxa" w:w="60"/>
              <w:right w:type="dxa" w:w="90"/>
            </w:tcMar>
            <w:vAlign w:val="top"/>
          </w:tcPr>
          <w:p>
            <w:pPr>
              <w:spacing w:after="0" w:line="252"/>
            </w:pPr>
            <w:r>
              <w:rPr>
                <w:rFonts w:ascii="Calibri" w:cs="Calibri" w:eastAsia="Calibri" w:hAnsi="Calibri"/>
                <w:b w:val="false"/>
                <w:bCs w:val="false"/>
                <w:color w:val="0F1729"/>
                <w:sz w:val="19"/>
                <w:szCs w:val="19"/>
              </w:rPr>
              <w:t xml:space="preserve">Every entity, enumeration and label.</w:t>
            </w:r>
          </w:p>
        </w:tc>
      </w:tr>
      <w:tr>
        <w:trPr>
          <w:cantSplit/>
          <w:tblHeader w:val="off"/>
        </w:trPr>
        <w:tc>
          <w:tcPr>
            <w:tcW w:type="dxa" w:w="1735"/>
            <w:tcBorders>
              <w:top w:val="single" w:color="DDE2E7" w:sz="4"/>
              <w:left w:val="single" w:color="DDE2E7" w:sz="4"/>
              <w:bottom w:val="single" w:color="DDE2E7" w:sz="4"/>
              <w:right w:val="single" w:color="DDE2E7" w:sz="4"/>
            </w:tcBorders>
            <w:tcMar>
              <w:top w:type="dxa" w:w="60"/>
              <w:left w:type="dxa" w:w="90"/>
              <w:bottom w:type="dxa" w:w="60"/>
              <w:right w:type="dxa" w:w="90"/>
            </w:tcMar>
            <w:vAlign w:val="top"/>
          </w:tcPr>
          <w:p>
            <w:pPr>
              <w:spacing w:after="0" w:line="252"/>
            </w:pPr>
            <w:r>
              <w:rPr>
                <w:rFonts w:ascii="Calibri" w:cs="Calibri" w:eastAsia="Calibri" w:hAnsi="Calibri"/>
                <w:b w:val="false"/>
                <w:bCs w:val="false"/>
                <w:color w:val="0F1729"/>
                <w:sz w:val="19"/>
                <w:szCs w:val="19"/>
              </w:rPr>
              <w:t xml:space="preserve">Persistence</w:t>
            </w:r>
          </w:p>
        </w:tc>
        <w:tc>
          <w:tcPr>
            <w:tcW w:type="dxa" w:w="2891"/>
            <w:tcBorders>
              <w:top w:val="single" w:color="DDE2E7" w:sz="4"/>
              <w:left w:val="single" w:color="DDE2E7" w:sz="4"/>
              <w:bottom w:val="single" w:color="DDE2E7" w:sz="4"/>
              <w:right w:val="single" w:color="DDE2E7" w:sz="4"/>
            </w:tcBorders>
            <w:tcMar>
              <w:top w:type="dxa" w:w="60"/>
              <w:left w:type="dxa" w:w="90"/>
              <w:bottom w:type="dxa" w:w="60"/>
              <w:right w:type="dxa" w:w="90"/>
            </w:tcMar>
            <w:vAlign w:val="top"/>
          </w:tcPr>
          <w:p>
            <w:pPr>
              <w:spacing w:after="0" w:line="252"/>
            </w:pPr>
            <w:r>
              <w:rPr>
                <w:rFonts w:ascii="Calibri" w:cs="Calibri" w:eastAsia="Calibri" w:hAnsi="Calibri"/>
                <w:b w:val="false"/>
                <w:bCs w:val="false"/>
                <w:color w:val="0F1729"/>
                <w:sz w:val="19"/>
                <w:szCs w:val="19"/>
              </w:rPr>
              <w:t xml:space="preserve">lib/ops/store.ts</w:t>
            </w:r>
          </w:p>
        </w:tc>
        <w:tc>
          <w:tcPr>
            <w:tcW w:type="dxa" w:w="5012"/>
            <w:tcBorders>
              <w:top w:val="single" w:color="DDE2E7" w:sz="4"/>
              <w:left w:val="single" w:color="DDE2E7" w:sz="4"/>
              <w:bottom w:val="single" w:color="DDE2E7" w:sz="4"/>
              <w:right w:val="single" w:color="DDE2E7" w:sz="4"/>
            </w:tcBorders>
            <w:tcMar>
              <w:top w:type="dxa" w:w="60"/>
              <w:left w:type="dxa" w:w="90"/>
              <w:bottom w:type="dxa" w:w="60"/>
              <w:right w:type="dxa" w:w="90"/>
            </w:tcMar>
            <w:vAlign w:val="top"/>
          </w:tcPr>
          <w:p>
            <w:pPr>
              <w:spacing w:after="0" w:line="252"/>
            </w:pPr>
            <w:r>
              <w:rPr>
                <w:rFonts w:ascii="Calibri" w:cs="Calibri" w:eastAsia="Calibri" w:hAnsi="Calibri"/>
                <w:b w:val="false"/>
                <w:bCs w:val="false"/>
                <w:color w:val="0F1729"/>
                <w:sz w:val="19"/>
                <w:szCs w:val="19"/>
              </w:rPr>
              <w:t xml:space="preserve">Load and save the document, atomic commits on a clone, cross-tab synchronisation through the storage event, the React hook pages use.</w:t>
            </w:r>
          </w:p>
        </w:tc>
      </w:tr>
      <w:tr>
        <w:trPr>
          <w:cantSplit/>
          <w:tblHeader w:val="off"/>
        </w:trPr>
        <w:tc>
          <w:tcPr>
            <w:tcW w:type="dxa" w:w="1735"/>
            <w:tcBorders>
              <w:top w:val="single" w:color="DDE2E7" w:sz="4"/>
              <w:left w:val="single" w:color="DDE2E7" w:sz="4"/>
              <w:bottom w:val="single" w:color="DDE2E7" w:sz="4"/>
              <w:right w:val="single" w:color="DDE2E7" w:sz="4"/>
            </w:tcBorders>
            <w:tcMar>
              <w:top w:type="dxa" w:w="60"/>
              <w:left w:type="dxa" w:w="90"/>
              <w:bottom w:type="dxa" w:w="60"/>
              <w:right w:type="dxa" w:w="90"/>
            </w:tcMar>
            <w:vAlign w:val="top"/>
          </w:tcPr>
          <w:p>
            <w:pPr>
              <w:spacing w:after="0" w:line="252"/>
            </w:pPr>
            <w:r>
              <w:rPr>
                <w:rFonts w:ascii="Calibri" w:cs="Calibri" w:eastAsia="Calibri" w:hAnsi="Calibri"/>
                <w:b w:val="false"/>
                <w:bCs w:val="false"/>
                <w:color w:val="0F1729"/>
                <w:sz w:val="19"/>
                <w:szCs w:val="19"/>
              </w:rPr>
              <w:t xml:space="preserve">Core</w:t>
            </w:r>
          </w:p>
        </w:tc>
        <w:tc>
          <w:tcPr>
            <w:tcW w:type="dxa" w:w="2891"/>
            <w:tcBorders>
              <w:top w:val="single" w:color="DDE2E7" w:sz="4"/>
              <w:left w:val="single" w:color="DDE2E7" w:sz="4"/>
              <w:bottom w:val="single" w:color="DDE2E7" w:sz="4"/>
              <w:right w:val="single" w:color="DDE2E7" w:sz="4"/>
            </w:tcBorders>
            <w:tcMar>
              <w:top w:type="dxa" w:w="60"/>
              <w:left w:type="dxa" w:w="90"/>
              <w:bottom w:type="dxa" w:w="60"/>
              <w:right w:type="dxa" w:w="90"/>
            </w:tcMar>
            <w:vAlign w:val="top"/>
          </w:tcPr>
          <w:p>
            <w:pPr>
              <w:spacing w:after="0" w:line="252"/>
            </w:pPr>
            <w:r>
              <w:rPr>
                <w:rFonts w:ascii="Calibri" w:cs="Calibri" w:eastAsia="Calibri" w:hAnsi="Calibri"/>
                <w:b w:val="false"/>
                <w:bCs w:val="false"/>
                <w:color w:val="0F1729"/>
                <w:sz w:val="19"/>
                <w:szCs w:val="19"/>
              </w:rPr>
              <w:t xml:space="preserve">lib/ops/core.ts</w:t>
            </w:r>
          </w:p>
        </w:tc>
        <w:tc>
          <w:tcPr>
            <w:tcW w:type="dxa" w:w="5012"/>
            <w:tcBorders>
              <w:top w:val="single" w:color="DDE2E7" w:sz="4"/>
              <w:left w:val="single" w:color="DDE2E7" w:sz="4"/>
              <w:bottom w:val="single" w:color="DDE2E7" w:sz="4"/>
              <w:right w:val="single" w:color="DDE2E7" w:sz="4"/>
            </w:tcBorders>
            <w:tcMar>
              <w:top w:type="dxa" w:w="60"/>
              <w:left w:type="dxa" w:w="90"/>
              <w:bottom w:type="dxa" w:w="60"/>
              <w:right w:type="dxa" w:w="90"/>
            </w:tcMar>
            <w:vAlign w:val="top"/>
          </w:tcPr>
          <w:p>
            <w:pPr>
              <w:spacing w:after="0" w:line="252"/>
            </w:pPr>
            <w:r>
              <w:rPr>
                <w:rFonts w:ascii="Calibri" w:cs="Calibri" w:eastAsia="Calibri" w:hAnsi="Calibri"/>
                <w:b w:val="false"/>
                <w:bCs w:val="false"/>
                <w:color w:val="0F1729"/>
                <w:sz w:val="19"/>
                <w:szCs w:val="19"/>
              </w:rPr>
              <w:t xml:space="preserve">Transaction context, errors, lookups, authorisation guards, references, audit, notifications, outbox, idempotency, charge creation.</w:t>
            </w:r>
          </w:p>
        </w:tc>
      </w:tr>
      <w:tr>
        <w:trPr>
          <w:cantSplit/>
          <w:tblHeader w:val="off"/>
        </w:trPr>
        <w:tc>
          <w:tcPr>
            <w:tcW w:type="dxa" w:w="1735"/>
            <w:tcBorders>
              <w:top w:val="single" w:color="DDE2E7" w:sz="4"/>
              <w:left w:val="single" w:color="DDE2E7" w:sz="4"/>
              <w:bottom w:val="single" w:color="DDE2E7" w:sz="4"/>
              <w:right w:val="single" w:color="DDE2E7" w:sz="4"/>
            </w:tcBorders>
            <w:tcMar>
              <w:top w:type="dxa" w:w="60"/>
              <w:left w:type="dxa" w:w="90"/>
              <w:bottom w:type="dxa" w:w="60"/>
              <w:right w:type="dxa" w:w="90"/>
            </w:tcMar>
            <w:vAlign w:val="top"/>
          </w:tcPr>
          <w:p>
            <w:pPr>
              <w:spacing w:after="0" w:line="252"/>
            </w:pPr>
            <w:r>
              <w:rPr>
                <w:rFonts w:ascii="Calibri" w:cs="Calibri" w:eastAsia="Calibri" w:hAnsi="Calibri"/>
                <w:b w:val="false"/>
                <w:bCs w:val="false"/>
                <w:color w:val="0F1729"/>
                <w:sz w:val="19"/>
                <w:szCs w:val="19"/>
              </w:rPr>
              <w:t xml:space="preserve">Services</w:t>
            </w:r>
          </w:p>
        </w:tc>
        <w:tc>
          <w:tcPr>
            <w:tcW w:type="dxa" w:w="2891"/>
            <w:tcBorders>
              <w:top w:val="single" w:color="DDE2E7" w:sz="4"/>
              <w:left w:val="single" w:color="DDE2E7" w:sz="4"/>
              <w:bottom w:val="single" w:color="DDE2E7" w:sz="4"/>
              <w:right w:val="single" w:color="DDE2E7" w:sz="4"/>
            </w:tcBorders>
            <w:tcMar>
              <w:top w:type="dxa" w:w="60"/>
              <w:left w:type="dxa" w:w="90"/>
              <w:bottom w:type="dxa" w:w="60"/>
              <w:right w:type="dxa" w:w="90"/>
            </w:tcMar>
            <w:vAlign w:val="top"/>
          </w:tcPr>
          <w:p>
            <w:pPr>
              <w:spacing w:after="0" w:line="252"/>
            </w:pPr>
            <w:r>
              <w:rPr>
                <w:rFonts w:ascii="Calibri" w:cs="Calibri" w:eastAsia="Calibri" w:hAnsi="Calibri"/>
                <w:b w:val="false"/>
                <w:bCs w:val="false"/>
                <w:color w:val="0F1729"/>
                <w:sz w:val="19"/>
                <w:szCs w:val="19"/>
              </w:rPr>
              <w:t xml:space="preserve">lib/ops/services/terminal.ts, logistics.ts, warehouse.ts, finance.ts, shared.ts</w:t>
            </w:r>
          </w:p>
        </w:tc>
        <w:tc>
          <w:tcPr>
            <w:tcW w:type="dxa" w:w="5012"/>
            <w:tcBorders>
              <w:top w:val="single" w:color="DDE2E7" w:sz="4"/>
              <w:left w:val="single" w:color="DDE2E7" w:sz="4"/>
              <w:bottom w:val="single" w:color="DDE2E7" w:sz="4"/>
              <w:right w:val="single" w:color="DDE2E7" w:sz="4"/>
            </w:tcBorders>
            <w:tcMar>
              <w:top w:type="dxa" w:w="60"/>
              <w:left w:type="dxa" w:w="90"/>
              <w:bottom w:type="dxa" w:w="60"/>
              <w:right w:type="dxa" w:w="90"/>
            </w:tcMar>
            <w:vAlign w:val="top"/>
          </w:tcPr>
          <w:p>
            <w:pPr>
              <w:spacing w:after="0" w:line="252"/>
            </w:pPr>
            <w:r>
              <w:rPr>
                <w:rFonts w:ascii="Calibri" w:cs="Calibri" w:eastAsia="Calibri" w:hAnsi="Calibri"/>
                <w:b w:val="false"/>
                <w:bCs w:val="false"/>
                <w:color w:val="0F1729"/>
                <w:sz w:val="19"/>
                <w:szCs w:val="19"/>
              </w:rPr>
              <w:t xml:space="preserve">All business rules, written against the context so the seed and the UI call the same code.</w:t>
            </w:r>
          </w:p>
        </w:tc>
      </w:tr>
      <w:tr>
        <w:trPr>
          <w:cantSplit/>
          <w:tblHeader w:val="off"/>
        </w:trPr>
        <w:tc>
          <w:tcPr>
            <w:tcW w:type="dxa" w:w="1735"/>
            <w:tcBorders>
              <w:top w:val="single" w:color="DDE2E7" w:sz="4"/>
              <w:left w:val="single" w:color="DDE2E7" w:sz="4"/>
              <w:bottom w:val="single" w:color="DDE2E7" w:sz="4"/>
              <w:right w:val="single" w:color="DDE2E7" w:sz="4"/>
            </w:tcBorders>
            <w:tcMar>
              <w:top w:type="dxa" w:w="60"/>
              <w:left w:type="dxa" w:w="90"/>
              <w:bottom w:type="dxa" w:w="60"/>
              <w:right w:type="dxa" w:w="90"/>
            </w:tcMar>
            <w:vAlign w:val="top"/>
          </w:tcPr>
          <w:p>
            <w:pPr>
              <w:spacing w:after="0" w:line="252"/>
            </w:pPr>
            <w:r>
              <w:rPr>
                <w:rFonts w:ascii="Calibri" w:cs="Calibri" w:eastAsia="Calibri" w:hAnsi="Calibri"/>
                <w:b w:val="false"/>
                <w:bCs w:val="false"/>
                <w:color w:val="0F1729"/>
                <w:sz w:val="19"/>
                <w:szCs w:val="19"/>
              </w:rPr>
              <w:t xml:space="preserve">Facade</w:t>
            </w:r>
          </w:p>
        </w:tc>
        <w:tc>
          <w:tcPr>
            <w:tcW w:type="dxa" w:w="2891"/>
            <w:tcBorders>
              <w:top w:val="single" w:color="DDE2E7" w:sz="4"/>
              <w:left w:val="single" w:color="DDE2E7" w:sz="4"/>
              <w:bottom w:val="single" w:color="DDE2E7" w:sz="4"/>
              <w:right w:val="single" w:color="DDE2E7" w:sz="4"/>
            </w:tcBorders>
            <w:tcMar>
              <w:top w:type="dxa" w:w="60"/>
              <w:left w:type="dxa" w:w="90"/>
              <w:bottom w:type="dxa" w:w="60"/>
              <w:right w:type="dxa" w:w="90"/>
            </w:tcMar>
            <w:vAlign w:val="top"/>
          </w:tcPr>
          <w:p>
            <w:pPr>
              <w:spacing w:after="0" w:line="252"/>
            </w:pPr>
            <w:r>
              <w:rPr>
                <w:rFonts w:ascii="Calibri" w:cs="Calibri" w:eastAsia="Calibri" w:hAnsi="Calibri"/>
                <w:b w:val="false"/>
                <w:bCs w:val="false"/>
                <w:color w:val="0F1729"/>
                <w:sz w:val="19"/>
                <w:szCs w:val="19"/>
              </w:rPr>
              <w:t xml:space="preserve">lib/ops/ops.ts</w:t>
            </w:r>
          </w:p>
        </w:tc>
        <w:tc>
          <w:tcPr>
            <w:tcW w:type="dxa" w:w="5012"/>
            <w:tcBorders>
              <w:top w:val="single" w:color="DDE2E7" w:sz="4"/>
              <w:left w:val="single" w:color="DDE2E7" w:sz="4"/>
              <w:bottom w:val="single" w:color="DDE2E7" w:sz="4"/>
              <w:right w:val="single" w:color="DDE2E7" w:sz="4"/>
            </w:tcBorders>
            <w:tcMar>
              <w:top w:type="dxa" w:w="60"/>
              <w:left w:type="dxa" w:w="90"/>
              <w:bottom w:type="dxa" w:w="60"/>
              <w:right w:type="dxa" w:w="90"/>
            </w:tcMar>
            <w:vAlign w:val="top"/>
          </w:tcPr>
          <w:p>
            <w:pPr>
              <w:spacing w:after="0" w:line="252"/>
            </w:pPr>
            <w:r>
              <w:rPr>
                <w:rFonts w:ascii="Calibri" w:cs="Calibri" w:eastAsia="Calibri" w:hAnsi="Calibri"/>
                <w:b w:val="false"/>
                <w:bCs w:val="false"/>
                <w:color w:val="0F1729"/>
                <w:sz w:val="19"/>
                <w:szCs w:val="19"/>
              </w:rPr>
              <w:t xml:space="preserve">Every service wrapped in a commit; the only API pages call.</w:t>
            </w:r>
          </w:p>
        </w:tc>
      </w:tr>
      <w:tr>
        <w:trPr>
          <w:cantSplit/>
          <w:tblHeader w:val="off"/>
        </w:trPr>
        <w:tc>
          <w:tcPr>
            <w:tcW w:type="dxa" w:w="1735"/>
            <w:tcBorders>
              <w:top w:val="single" w:color="DDE2E7" w:sz="4"/>
              <w:left w:val="single" w:color="DDE2E7" w:sz="4"/>
              <w:bottom w:val="single" w:color="DDE2E7" w:sz="4"/>
              <w:right w:val="single" w:color="DDE2E7" w:sz="4"/>
            </w:tcBorders>
            <w:tcMar>
              <w:top w:type="dxa" w:w="60"/>
              <w:left w:type="dxa" w:w="90"/>
              <w:bottom w:type="dxa" w:w="60"/>
              <w:right w:type="dxa" w:w="90"/>
            </w:tcMar>
            <w:vAlign w:val="top"/>
          </w:tcPr>
          <w:p>
            <w:pPr>
              <w:spacing w:after="0" w:line="252"/>
            </w:pPr>
            <w:r>
              <w:rPr>
                <w:rFonts w:ascii="Calibri" w:cs="Calibri" w:eastAsia="Calibri" w:hAnsi="Calibri"/>
                <w:b w:val="false"/>
                <w:bCs w:val="false"/>
                <w:color w:val="0F1729"/>
                <w:sz w:val="19"/>
                <w:szCs w:val="19"/>
              </w:rPr>
              <w:t xml:space="preserve">Tariff and validation</w:t>
            </w:r>
          </w:p>
        </w:tc>
        <w:tc>
          <w:tcPr>
            <w:tcW w:type="dxa" w:w="2891"/>
            <w:tcBorders>
              <w:top w:val="single" w:color="DDE2E7" w:sz="4"/>
              <w:left w:val="single" w:color="DDE2E7" w:sz="4"/>
              <w:bottom w:val="single" w:color="DDE2E7" w:sz="4"/>
              <w:right w:val="single" w:color="DDE2E7" w:sz="4"/>
            </w:tcBorders>
            <w:tcMar>
              <w:top w:type="dxa" w:w="60"/>
              <w:left w:type="dxa" w:w="90"/>
              <w:bottom w:type="dxa" w:w="60"/>
              <w:right w:type="dxa" w:w="90"/>
            </w:tcMar>
            <w:vAlign w:val="top"/>
          </w:tcPr>
          <w:p>
            <w:pPr>
              <w:spacing w:after="0" w:line="252"/>
            </w:pPr>
            <w:r>
              <w:rPr>
                <w:rFonts w:ascii="Calibri" w:cs="Calibri" w:eastAsia="Calibri" w:hAnsi="Calibri"/>
                <w:b w:val="false"/>
                <w:bCs w:val="false"/>
                <w:color w:val="0F1729"/>
                <w:sz w:val="19"/>
                <w:szCs w:val="19"/>
              </w:rPr>
              <w:t xml:space="preserve">lib/ops/tariff.ts, iso6346.ts</w:t>
            </w:r>
          </w:p>
        </w:tc>
        <w:tc>
          <w:tcPr>
            <w:tcW w:type="dxa" w:w="5012"/>
            <w:tcBorders>
              <w:top w:val="single" w:color="DDE2E7" w:sz="4"/>
              <w:left w:val="single" w:color="DDE2E7" w:sz="4"/>
              <w:bottom w:val="single" w:color="DDE2E7" w:sz="4"/>
              <w:right w:val="single" w:color="DDE2E7" w:sz="4"/>
            </w:tcBorders>
            <w:tcMar>
              <w:top w:type="dxa" w:w="60"/>
              <w:left w:type="dxa" w:w="90"/>
              <w:bottom w:type="dxa" w:w="60"/>
              <w:right w:type="dxa" w:w="90"/>
            </w:tcMar>
            <w:vAlign w:val="top"/>
          </w:tcPr>
          <w:p>
            <w:pPr>
              <w:spacing w:after="0" w:line="252"/>
            </w:pPr>
            <w:r>
              <w:rPr>
                <w:rFonts w:ascii="Calibri" w:cs="Calibri" w:eastAsia="Calibri" w:hAnsi="Calibri"/>
                <w:b w:val="false"/>
                <w:bCs w:val="false"/>
                <w:color w:val="0F1729"/>
                <w:sz w:val="19"/>
                <w:szCs w:val="19"/>
              </w:rPr>
              <w:t xml:space="preserve">Schedule of charges, storage calculator, ISO 6346 check digit.</w:t>
            </w:r>
          </w:p>
        </w:tc>
      </w:tr>
      <w:tr>
        <w:trPr>
          <w:cantSplit/>
          <w:tblHeader w:val="off"/>
        </w:trPr>
        <w:tc>
          <w:tcPr>
            <w:tcW w:type="dxa" w:w="1735"/>
            <w:tcBorders>
              <w:top w:val="single" w:color="DDE2E7" w:sz="4"/>
              <w:left w:val="single" w:color="DDE2E7" w:sz="4"/>
              <w:bottom w:val="single" w:color="DDE2E7" w:sz="4"/>
              <w:right w:val="single" w:color="DDE2E7" w:sz="4"/>
            </w:tcBorders>
            <w:tcMar>
              <w:top w:type="dxa" w:w="60"/>
              <w:left w:type="dxa" w:w="90"/>
              <w:bottom w:type="dxa" w:w="60"/>
              <w:right w:type="dxa" w:w="90"/>
            </w:tcMar>
            <w:vAlign w:val="top"/>
          </w:tcPr>
          <w:p>
            <w:pPr>
              <w:spacing w:after="0" w:line="252"/>
            </w:pPr>
            <w:r>
              <w:rPr>
                <w:rFonts w:ascii="Calibri" w:cs="Calibri" w:eastAsia="Calibri" w:hAnsi="Calibri"/>
                <w:b w:val="false"/>
                <w:bCs w:val="false"/>
                <w:color w:val="0F1729"/>
                <w:sz w:val="19"/>
                <w:szCs w:val="19"/>
              </w:rPr>
              <w:t xml:space="preserve">Seed</w:t>
            </w:r>
          </w:p>
        </w:tc>
        <w:tc>
          <w:tcPr>
            <w:tcW w:type="dxa" w:w="2891"/>
            <w:tcBorders>
              <w:top w:val="single" w:color="DDE2E7" w:sz="4"/>
              <w:left w:val="single" w:color="DDE2E7" w:sz="4"/>
              <w:bottom w:val="single" w:color="DDE2E7" w:sz="4"/>
              <w:right w:val="single" w:color="DDE2E7" w:sz="4"/>
            </w:tcBorders>
            <w:tcMar>
              <w:top w:type="dxa" w:w="60"/>
              <w:left w:type="dxa" w:w="90"/>
              <w:bottom w:type="dxa" w:w="60"/>
              <w:right w:type="dxa" w:w="90"/>
            </w:tcMar>
            <w:vAlign w:val="top"/>
          </w:tcPr>
          <w:p>
            <w:pPr>
              <w:spacing w:after="0" w:line="252"/>
            </w:pPr>
            <w:r>
              <w:rPr>
                <w:rFonts w:ascii="Calibri" w:cs="Calibri" w:eastAsia="Calibri" w:hAnsi="Calibri"/>
                <w:b w:val="false"/>
                <w:bCs w:val="false"/>
                <w:color w:val="0F1729"/>
                <w:sz w:val="19"/>
                <w:szCs w:val="19"/>
              </w:rPr>
              <w:t xml:space="preserve">lib/ops/seed.ts</w:t>
            </w:r>
          </w:p>
        </w:tc>
        <w:tc>
          <w:tcPr>
            <w:tcW w:type="dxa" w:w="5012"/>
            <w:tcBorders>
              <w:top w:val="single" w:color="DDE2E7" w:sz="4"/>
              <w:left w:val="single" w:color="DDE2E7" w:sz="4"/>
              <w:bottom w:val="single" w:color="DDE2E7" w:sz="4"/>
              <w:right w:val="single" w:color="DDE2E7" w:sz="4"/>
            </w:tcBorders>
            <w:tcMar>
              <w:top w:type="dxa" w:w="60"/>
              <w:left w:type="dxa" w:w="90"/>
              <w:bottom w:type="dxa" w:w="60"/>
              <w:right w:type="dxa" w:w="90"/>
            </w:tcMar>
            <w:vAlign w:val="top"/>
          </w:tcPr>
          <w:p>
            <w:pPr>
              <w:spacing w:after="0" w:line="252"/>
            </w:pPr>
            <w:r>
              <w:rPr>
                <w:rFonts w:ascii="Calibri" w:cs="Calibri" w:eastAsia="Calibri" w:hAnsi="Calibri"/>
                <w:b w:val="false"/>
                <w:bCs w:val="false"/>
                <w:color w:val="0F1729"/>
                <w:sz w:val="19"/>
                <w:szCs w:val="19"/>
              </w:rPr>
              <w:t xml:space="preserve">Demonstration data built by replaying the services with a moving clock.</w:t>
            </w:r>
          </w:p>
        </w:tc>
      </w:tr>
      <w:tr>
        <w:trPr>
          <w:cantSplit/>
          <w:tblHeader w:val="off"/>
        </w:trPr>
        <w:tc>
          <w:tcPr>
            <w:tcW w:type="dxa" w:w="1735"/>
            <w:tcBorders>
              <w:top w:val="single" w:color="DDE2E7" w:sz="4"/>
              <w:left w:val="single" w:color="DDE2E7" w:sz="4"/>
              <w:bottom w:val="single" w:color="DDE2E7" w:sz="4"/>
              <w:right w:val="single" w:color="DDE2E7" w:sz="4"/>
            </w:tcBorders>
            <w:tcMar>
              <w:top w:type="dxa" w:w="60"/>
              <w:left w:type="dxa" w:w="90"/>
              <w:bottom w:type="dxa" w:w="60"/>
              <w:right w:type="dxa" w:w="90"/>
            </w:tcMar>
            <w:vAlign w:val="top"/>
          </w:tcPr>
          <w:p>
            <w:pPr>
              <w:spacing w:after="0" w:line="252"/>
            </w:pPr>
            <w:r>
              <w:rPr>
                <w:rFonts w:ascii="Calibri" w:cs="Calibri" w:eastAsia="Calibri" w:hAnsi="Calibri"/>
                <w:b w:val="false"/>
                <w:bCs w:val="false"/>
                <w:color w:val="0F1729"/>
                <w:sz w:val="19"/>
                <w:szCs w:val="19"/>
              </w:rPr>
              <w:t xml:space="preserve">Design system</w:t>
            </w:r>
          </w:p>
        </w:tc>
        <w:tc>
          <w:tcPr>
            <w:tcW w:type="dxa" w:w="2891"/>
            <w:tcBorders>
              <w:top w:val="single" w:color="DDE2E7" w:sz="4"/>
              <w:left w:val="single" w:color="DDE2E7" w:sz="4"/>
              <w:bottom w:val="single" w:color="DDE2E7" w:sz="4"/>
              <w:right w:val="single" w:color="DDE2E7" w:sz="4"/>
            </w:tcBorders>
            <w:tcMar>
              <w:top w:type="dxa" w:w="60"/>
              <w:left w:type="dxa" w:w="90"/>
              <w:bottom w:type="dxa" w:w="60"/>
              <w:right w:type="dxa" w:w="90"/>
            </w:tcMar>
            <w:vAlign w:val="top"/>
          </w:tcPr>
          <w:p>
            <w:pPr>
              <w:spacing w:after="0" w:line="252"/>
            </w:pPr>
            <w:r>
              <w:rPr>
                <w:rFonts w:ascii="Calibri" w:cs="Calibri" w:eastAsia="Calibri" w:hAnsi="Calibri"/>
                <w:b w:val="false"/>
                <w:bCs w:val="false"/>
                <w:color w:val="0F1729"/>
                <w:sz w:val="19"/>
                <w:szCs w:val="19"/>
              </w:rPr>
              <w:t xml:space="preserve">app/globals.css, components/ui</w:t>
            </w:r>
          </w:p>
        </w:tc>
        <w:tc>
          <w:tcPr>
            <w:tcW w:type="dxa" w:w="5012"/>
            <w:tcBorders>
              <w:top w:val="single" w:color="DDE2E7" w:sz="4"/>
              <w:left w:val="single" w:color="DDE2E7" w:sz="4"/>
              <w:bottom w:val="single" w:color="DDE2E7" w:sz="4"/>
              <w:right w:val="single" w:color="DDE2E7" w:sz="4"/>
            </w:tcBorders>
            <w:tcMar>
              <w:top w:type="dxa" w:w="60"/>
              <w:left w:type="dxa" w:w="90"/>
              <w:bottom w:type="dxa" w:w="60"/>
              <w:right w:type="dxa" w:w="90"/>
            </w:tcMar>
            <w:vAlign w:val="top"/>
          </w:tcPr>
          <w:p>
            <w:pPr>
              <w:spacing w:after="0" w:line="252"/>
            </w:pPr>
            <w:r>
              <w:rPr>
                <w:rFonts w:ascii="Calibri" w:cs="Calibri" w:eastAsia="Calibri" w:hAnsi="Calibri"/>
                <w:b w:val="false"/>
                <w:bCs w:val="false"/>
                <w:color w:val="0F1729"/>
                <w:sz w:val="19"/>
                <w:szCs w:val="19"/>
              </w:rPr>
              <w:t xml:space="preserve">Tokens and primitives ported one-to-one from the SSI Events frontend; new primitives (tabs, facts grid, timeline, form dialog, toast, table shell) documented on the live style guide.</w:t>
            </w:r>
          </w:p>
        </w:tc>
      </w:tr>
      <w:tr>
        <w:trPr>
          <w:cantSplit/>
          <w:tblHeader w:val="off"/>
        </w:trPr>
        <w:tc>
          <w:tcPr>
            <w:tcW w:type="dxa" w:w="1735"/>
            <w:tcBorders>
              <w:top w:val="single" w:color="DDE2E7" w:sz="4"/>
              <w:left w:val="single" w:color="DDE2E7" w:sz="4"/>
              <w:bottom w:val="single" w:color="DDE2E7" w:sz="4"/>
              <w:right w:val="single" w:color="DDE2E7" w:sz="4"/>
            </w:tcBorders>
            <w:tcMar>
              <w:top w:type="dxa" w:w="60"/>
              <w:left w:type="dxa" w:w="90"/>
              <w:bottom w:type="dxa" w:w="60"/>
              <w:right w:type="dxa" w:w="90"/>
            </w:tcMar>
            <w:vAlign w:val="top"/>
          </w:tcPr>
          <w:p>
            <w:pPr>
              <w:spacing w:after="0" w:line="252"/>
            </w:pPr>
            <w:r>
              <w:rPr>
                <w:rFonts w:ascii="Calibri" w:cs="Calibri" w:eastAsia="Calibri" w:hAnsi="Calibri"/>
                <w:b w:val="false"/>
                <w:bCs w:val="false"/>
                <w:color w:val="0F1729"/>
                <w:sz w:val="19"/>
                <w:szCs w:val="19"/>
              </w:rPr>
              <w:t xml:space="preserve">Screens</w:t>
            </w:r>
          </w:p>
        </w:tc>
        <w:tc>
          <w:tcPr>
            <w:tcW w:type="dxa" w:w="2891"/>
            <w:tcBorders>
              <w:top w:val="single" w:color="DDE2E7" w:sz="4"/>
              <w:left w:val="single" w:color="DDE2E7" w:sz="4"/>
              <w:bottom w:val="single" w:color="DDE2E7" w:sz="4"/>
              <w:right w:val="single" w:color="DDE2E7" w:sz="4"/>
            </w:tcBorders>
            <w:tcMar>
              <w:top w:type="dxa" w:w="60"/>
              <w:left w:type="dxa" w:w="90"/>
              <w:bottom w:type="dxa" w:w="60"/>
              <w:right w:type="dxa" w:w="90"/>
            </w:tcMar>
            <w:vAlign w:val="top"/>
          </w:tcPr>
          <w:p>
            <w:pPr>
              <w:spacing w:after="0" w:line="252"/>
            </w:pPr>
            <w:r>
              <w:rPr>
                <w:rFonts w:ascii="Calibri" w:cs="Calibri" w:eastAsia="Calibri" w:hAnsi="Calibri"/>
                <w:b w:val="false"/>
                <w:bCs w:val="false"/>
                <w:color w:val="0F1729"/>
                <w:sz w:val="19"/>
                <w:szCs w:val="19"/>
              </w:rPr>
              <w:t xml:space="preserve">app/admin, app/(site)</w:t>
            </w:r>
          </w:p>
        </w:tc>
        <w:tc>
          <w:tcPr>
            <w:tcW w:type="dxa" w:w="5012"/>
            <w:tcBorders>
              <w:top w:val="single" w:color="DDE2E7" w:sz="4"/>
              <w:left w:val="single" w:color="DDE2E7" w:sz="4"/>
              <w:bottom w:val="single" w:color="DDE2E7" w:sz="4"/>
              <w:right w:val="single" w:color="DDE2E7" w:sz="4"/>
            </w:tcBorders>
            <w:tcMar>
              <w:top w:type="dxa" w:w="60"/>
              <w:left w:type="dxa" w:w="90"/>
              <w:bottom w:type="dxa" w:w="60"/>
              <w:right w:type="dxa" w:w="90"/>
            </w:tcMar>
            <w:vAlign w:val="top"/>
          </w:tcPr>
          <w:p>
            <w:pPr>
              <w:spacing w:after="0" w:line="252"/>
            </w:pPr>
            <w:r>
              <w:rPr>
                <w:rFonts w:ascii="Calibri" w:cs="Calibri" w:eastAsia="Calibri" w:hAnsi="Calibri"/>
                <w:b w:val="false"/>
                <w:bCs w:val="false"/>
                <w:color w:val="0F1729"/>
                <w:sz w:val="19"/>
                <w:szCs w:val="19"/>
              </w:rPr>
              <w:t xml:space="preserve">Twenty-four admin screens and the customer portal; every page renders a skeleton until the database is available on the client.</w:t>
            </w:r>
          </w:p>
        </w:tc>
      </w:tr>
    </w:tbl>
    <w:p>
      <w:pPr>
        <w:spacing w:after="100" w:before="0" w:line="264"/>
      </w:pPr>
      <w:r>
        <w:rPr>
          <w:rFonts w:ascii="Calibri" w:cs="Calibri" w:eastAsia="Calibri" w:hAnsi="Calibri"/>
          <w:color w:val="0F1729"/>
          <w:sz w:val="21"/>
          <w:szCs w:val="21"/>
        </w:rPr>
        <w:t xml:space="preserve">Quality gates: strict TypeScript, ESLint with the React Compiler rules (no impure calls in render), a production build of thirty routes, and the seed reconciliation script. Lint and build are clean at the time of writing.</w:t>
      </w:r>
    </w:p>
    <w:p>
      <w:pPr>
        <w:pStyle w:val="Heading1"/>
        <w:keepNext/>
        <w:spacing w:after="120" w:before="280"/>
      </w:pPr>
      <w:bookmarkStart w:name="_Toc17" w:id="17"/>
      <w:r>
        <w:rPr>
          <w:rFonts w:ascii="Calibri" w:cs="Calibri" w:eastAsia="Calibri" w:hAnsi="Calibri"/>
          <w:b/>
          <w:bCs/>
          <w:color w:val="0F1729"/>
          <w:sz w:val="32"/>
          <w:szCs w:val="32"/>
        </w:rPr>
        <w:t xml:space="preserve">8. Production architecture</w:t>
      </w:r>
      <w:bookmarkEnd w:id="17"/>
    </w:p>
    <w:p>
      <w:pPr>
        <w:spacing w:after="100" w:before="0" w:line="264"/>
      </w:pPr>
      <w:r>
        <w:rPr>
          <w:rFonts w:ascii="Calibri" w:cs="Calibri" w:eastAsia="Calibri" w:hAnsi="Calibri"/>
          <w:color w:val="0F1729"/>
          <w:sz w:val="21"/>
          <w:szCs w:val="21"/>
        </w:rPr>
        <w:t xml:space="preserve">The production design keeps the domain model and the service layer and replaces the browser document with managed AWS services. It is serverless by default because terminal load is spiky (vessel arrivals, gate peaks, month-end billing) and because Gulftainer’s IT team already runs multi-cloud estates and managed providers under SLA; a serverless estate has the smallest surface to patch and operate.</w:t>
      </w:r>
    </w:p>
    <w:p>
      <w:pPr>
        <w:pStyle w:val="Heading2"/>
        <w:keepNext/>
        <w:spacing w:after="80" w:before="220"/>
      </w:pPr>
      <w:bookmarkStart w:name="_Toc18" w:id="18"/>
      <w:r>
        <w:rPr>
          <w:rFonts w:ascii="Calibri" w:cs="Calibri" w:eastAsia="Calibri" w:hAnsi="Calibri"/>
          <w:b/>
          <w:bCs/>
          <w:color w:val="283F8F"/>
          <w:sz w:val="25"/>
          <w:szCs w:val="25"/>
        </w:rPr>
        <w:t xml:space="preserve">8.1 Technology stack</w:t>
      </w:r>
      <w:bookmarkEnd w:id="18"/>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38"/>
        <w:gridCol w:w="3855"/>
        <w:gridCol w:w="4144"/>
      </w:tblGrid>
      <w:tr>
        <w:trPr>
          <w:cantSplit/>
          <w:tblHeader/>
        </w:trPr>
        <w:tc>
          <w:tcPr>
            <w:tcW w:type="dxa" w:w="1638"/>
            <w:tcBorders>
              <w:top w:val="single" w:color="DDE2E7" w:sz="4"/>
              <w:left w:val="single" w:color="DDE2E7" w:sz="4"/>
              <w:bottom w:val="single" w:color="DDE2E7" w:sz="4"/>
              <w:right w:val="single" w:color="DDE2E7" w:sz="4"/>
            </w:tcBorders>
            <w:shd w:fill="F4F6F8" w:color="auto" w:val="clear"/>
            <w:tcMar>
              <w:top w:type="dxa" w:w="60"/>
              <w:left w:type="dxa" w:w="90"/>
              <w:bottom w:type="dxa" w:w="60"/>
              <w:right w:type="dxa" w:w="90"/>
            </w:tcMar>
            <w:vAlign w:val="top"/>
          </w:tcPr>
          <w:p>
            <w:pPr>
              <w:spacing w:after="0" w:line="252"/>
            </w:pPr>
            <w:r>
              <w:rPr>
                <w:rFonts w:ascii="Calibri" w:cs="Calibri" w:eastAsia="Calibri" w:hAnsi="Calibri"/>
                <w:b/>
                <w:bCs/>
                <w:color w:val="5B6576"/>
                <w:sz w:val="19"/>
                <w:szCs w:val="19"/>
              </w:rPr>
              <w:t xml:space="preserve">Concern</w:t>
            </w:r>
          </w:p>
        </w:tc>
        <w:tc>
          <w:tcPr>
            <w:tcW w:type="dxa" w:w="3855"/>
            <w:tcBorders>
              <w:top w:val="single" w:color="DDE2E7" w:sz="4"/>
              <w:left w:val="single" w:color="DDE2E7" w:sz="4"/>
              <w:bottom w:val="single" w:color="DDE2E7" w:sz="4"/>
              <w:right w:val="single" w:color="DDE2E7" w:sz="4"/>
            </w:tcBorders>
            <w:shd w:fill="F4F6F8" w:color="auto" w:val="clear"/>
            <w:tcMar>
              <w:top w:type="dxa" w:w="60"/>
              <w:left w:type="dxa" w:w="90"/>
              <w:bottom w:type="dxa" w:w="60"/>
              <w:right w:type="dxa" w:w="90"/>
            </w:tcMar>
            <w:vAlign w:val="top"/>
          </w:tcPr>
          <w:p>
            <w:pPr>
              <w:spacing w:after="0" w:line="252"/>
            </w:pPr>
            <w:r>
              <w:rPr>
                <w:rFonts w:ascii="Calibri" w:cs="Calibri" w:eastAsia="Calibri" w:hAnsi="Calibri"/>
                <w:b/>
                <w:bCs/>
                <w:color w:val="5B6576"/>
                <w:sz w:val="19"/>
                <w:szCs w:val="19"/>
              </w:rPr>
              <w:t xml:space="preserve">Choice</w:t>
            </w:r>
          </w:p>
        </w:tc>
        <w:tc>
          <w:tcPr>
            <w:tcW w:type="dxa" w:w="4144"/>
            <w:tcBorders>
              <w:top w:val="single" w:color="DDE2E7" w:sz="4"/>
              <w:left w:val="single" w:color="DDE2E7" w:sz="4"/>
              <w:bottom w:val="single" w:color="DDE2E7" w:sz="4"/>
              <w:right w:val="single" w:color="DDE2E7" w:sz="4"/>
            </w:tcBorders>
            <w:shd w:fill="F4F6F8" w:color="auto" w:val="clear"/>
            <w:tcMar>
              <w:top w:type="dxa" w:w="60"/>
              <w:left w:type="dxa" w:w="90"/>
              <w:bottom w:type="dxa" w:w="60"/>
              <w:right w:type="dxa" w:w="90"/>
            </w:tcMar>
            <w:vAlign w:val="top"/>
          </w:tcPr>
          <w:p>
            <w:pPr>
              <w:spacing w:after="0" w:line="252"/>
            </w:pPr>
            <w:r>
              <w:rPr>
                <w:rFonts w:ascii="Calibri" w:cs="Calibri" w:eastAsia="Calibri" w:hAnsi="Calibri"/>
                <w:b/>
                <w:bCs/>
                <w:color w:val="5B6576"/>
                <w:sz w:val="19"/>
                <w:szCs w:val="19"/>
              </w:rPr>
              <w:t xml:space="preserve">Why</w:t>
            </w:r>
          </w:p>
        </w:tc>
      </w:tr>
      <w:tr>
        <w:trPr>
          <w:cantSplit/>
          <w:tblHeader w:val="off"/>
        </w:trPr>
        <w:tc>
          <w:tcPr>
            <w:tcW w:type="dxa" w:w="1638"/>
            <w:tcBorders>
              <w:top w:val="single" w:color="DDE2E7" w:sz="4"/>
              <w:left w:val="single" w:color="DDE2E7" w:sz="4"/>
              <w:bottom w:val="single" w:color="DDE2E7" w:sz="4"/>
              <w:right w:val="single" w:color="DDE2E7" w:sz="4"/>
            </w:tcBorders>
            <w:tcMar>
              <w:top w:type="dxa" w:w="60"/>
              <w:left w:type="dxa" w:w="90"/>
              <w:bottom w:type="dxa" w:w="60"/>
              <w:right w:type="dxa" w:w="90"/>
            </w:tcMar>
            <w:vAlign w:val="top"/>
          </w:tcPr>
          <w:p>
            <w:pPr>
              <w:spacing w:after="0" w:line="252"/>
            </w:pPr>
            <w:r>
              <w:rPr>
                <w:rFonts w:ascii="Calibri" w:cs="Calibri" w:eastAsia="Calibri" w:hAnsi="Calibri"/>
                <w:b w:val="false"/>
                <w:bCs w:val="false"/>
                <w:color w:val="0F1729"/>
                <w:sz w:val="19"/>
                <w:szCs w:val="19"/>
              </w:rPr>
              <w:t xml:space="preserve">Front end</w:t>
            </w:r>
          </w:p>
        </w:tc>
        <w:tc>
          <w:tcPr>
            <w:tcW w:type="dxa" w:w="3855"/>
            <w:tcBorders>
              <w:top w:val="single" w:color="DDE2E7" w:sz="4"/>
              <w:left w:val="single" w:color="DDE2E7" w:sz="4"/>
              <w:bottom w:val="single" w:color="DDE2E7" w:sz="4"/>
              <w:right w:val="single" w:color="DDE2E7" w:sz="4"/>
            </w:tcBorders>
            <w:tcMar>
              <w:top w:type="dxa" w:w="60"/>
              <w:left w:type="dxa" w:w="90"/>
              <w:bottom w:type="dxa" w:w="60"/>
              <w:right w:type="dxa" w:w="90"/>
            </w:tcMar>
            <w:vAlign w:val="top"/>
          </w:tcPr>
          <w:p>
            <w:pPr>
              <w:spacing w:after="0" w:line="252"/>
            </w:pPr>
            <w:r>
              <w:rPr>
                <w:rFonts w:ascii="Calibri" w:cs="Calibri" w:eastAsia="Calibri" w:hAnsi="Calibri"/>
                <w:b w:val="false"/>
                <w:bCs w:val="false"/>
                <w:color w:val="0F1729"/>
                <w:sz w:val="19"/>
                <w:szCs w:val="19"/>
              </w:rPr>
              <w:t xml:space="preserve">Next.js 16 and React 19, built as a static and server-rendered application, delivered through Amazon CloudFront with AWS WAF</w:t>
            </w:r>
          </w:p>
        </w:tc>
        <w:tc>
          <w:tcPr>
            <w:tcW w:type="dxa" w:w="4144"/>
            <w:tcBorders>
              <w:top w:val="single" w:color="DDE2E7" w:sz="4"/>
              <w:left w:val="single" w:color="DDE2E7" w:sz="4"/>
              <w:bottom w:val="single" w:color="DDE2E7" w:sz="4"/>
              <w:right w:val="single" w:color="DDE2E7" w:sz="4"/>
            </w:tcBorders>
            <w:tcMar>
              <w:top w:type="dxa" w:w="60"/>
              <w:left w:type="dxa" w:w="90"/>
              <w:bottom w:type="dxa" w:w="60"/>
              <w:right w:type="dxa" w:w="90"/>
            </w:tcMar>
            <w:vAlign w:val="top"/>
          </w:tcPr>
          <w:p>
            <w:pPr>
              <w:spacing w:after="0" w:line="252"/>
            </w:pPr>
            <w:r>
              <w:rPr>
                <w:rFonts w:ascii="Calibri" w:cs="Calibri" w:eastAsia="Calibri" w:hAnsi="Calibri"/>
                <w:b w:val="false"/>
                <w:bCs w:val="false"/>
                <w:color w:val="0F1729"/>
                <w:sz w:val="19"/>
                <w:szCs w:val="19"/>
              </w:rPr>
              <w:t xml:space="preserve">Same code as the prototype; CloudFront gives UAE edge delivery, caching and WAF protection; the customer portal and operations app are two builds of one repository.</w:t>
            </w:r>
          </w:p>
        </w:tc>
      </w:tr>
      <w:tr>
        <w:trPr>
          <w:cantSplit/>
          <w:tblHeader w:val="off"/>
        </w:trPr>
        <w:tc>
          <w:tcPr>
            <w:tcW w:type="dxa" w:w="1638"/>
            <w:tcBorders>
              <w:top w:val="single" w:color="DDE2E7" w:sz="4"/>
              <w:left w:val="single" w:color="DDE2E7" w:sz="4"/>
              <w:bottom w:val="single" w:color="DDE2E7" w:sz="4"/>
              <w:right w:val="single" w:color="DDE2E7" w:sz="4"/>
            </w:tcBorders>
            <w:tcMar>
              <w:top w:type="dxa" w:w="60"/>
              <w:left w:type="dxa" w:w="90"/>
              <w:bottom w:type="dxa" w:w="60"/>
              <w:right w:type="dxa" w:w="90"/>
            </w:tcMar>
            <w:vAlign w:val="top"/>
          </w:tcPr>
          <w:p>
            <w:pPr>
              <w:spacing w:after="0" w:line="252"/>
            </w:pPr>
            <w:r>
              <w:rPr>
                <w:rFonts w:ascii="Calibri" w:cs="Calibri" w:eastAsia="Calibri" w:hAnsi="Calibri"/>
                <w:b w:val="false"/>
                <w:bCs w:val="false"/>
                <w:color w:val="0F1729"/>
                <w:sz w:val="19"/>
                <w:szCs w:val="19"/>
              </w:rPr>
              <w:t xml:space="preserve">API</w:t>
            </w:r>
          </w:p>
        </w:tc>
        <w:tc>
          <w:tcPr>
            <w:tcW w:type="dxa" w:w="3855"/>
            <w:tcBorders>
              <w:top w:val="single" w:color="DDE2E7" w:sz="4"/>
              <w:left w:val="single" w:color="DDE2E7" w:sz="4"/>
              <w:bottom w:val="single" w:color="DDE2E7" w:sz="4"/>
              <w:right w:val="single" w:color="DDE2E7" w:sz="4"/>
            </w:tcBorders>
            <w:tcMar>
              <w:top w:type="dxa" w:w="60"/>
              <w:left w:type="dxa" w:w="90"/>
              <w:bottom w:type="dxa" w:w="60"/>
              <w:right w:type="dxa" w:w="90"/>
            </w:tcMar>
            <w:vAlign w:val="top"/>
          </w:tcPr>
          <w:p>
            <w:pPr>
              <w:spacing w:after="0" w:line="252"/>
            </w:pPr>
            <w:r>
              <w:rPr>
                <w:rFonts w:ascii="Calibri" w:cs="Calibri" w:eastAsia="Calibri" w:hAnsi="Calibri"/>
                <w:b w:val="false"/>
                <w:bCs w:val="false"/>
                <w:color w:val="0F1729"/>
                <w:sz w:val="19"/>
                <w:szCs w:val="19"/>
              </w:rPr>
              <w:t xml:space="preserve">Amazon API Gateway (HTTP API) in front of AWS Lambda functions, Node.js 22, TypeScript</w:t>
            </w:r>
          </w:p>
        </w:tc>
        <w:tc>
          <w:tcPr>
            <w:tcW w:type="dxa" w:w="4144"/>
            <w:tcBorders>
              <w:top w:val="single" w:color="DDE2E7" w:sz="4"/>
              <w:left w:val="single" w:color="DDE2E7" w:sz="4"/>
              <w:bottom w:val="single" w:color="DDE2E7" w:sz="4"/>
              <w:right w:val="single" w:color="DDE2E7" w:sz="4"/>
            </w:tcBorders>
            <w:tcMar>
              <w:top w:type="dxa" w:w="60"/>
              <w:left w:type="dxa" w:w="90"/>
              <w:bottom w:type="dxa" w:w="60"/>
              <w:right w:type="dxa" w:w="90"/>
            </w:tcMar>
            <w:vAlign w:val="top"/>
          </w:tcPr>
          <w:p>
            <w:pPr>
              <w:spacing w:after="0" w:line="252"/>
            </w:pPr>
            <w:r>
              <w:rPr>
                <w:rFonts w:ascii="Calibri" w:cs="Calibri" w:eastAsia="Calibri" w:hAnsi="Calibri"/>
                <w:b w:val="false"/>
                <w:bCs w:val="false"/>
                <w:color w:val="0F1729"/>
                <w:sz w:val="19"/>
                <w:szCs w:val="19"/>
              </w:rPr>
              <w:t xml:space="preserve">The service modules become Lambda handlers; API Gateway gives throttling, usage plans for partner integrations and a JWT authoriser.</w:t>
            </w:r>
          </w:p>
        </w:tc>
      </w:tr>
      <w:tr>
        <w:trPr>
          <w:cantSplit/>
          <w:tblHeader w:val="off"/>
        </w:trPr>
        <w:tc>
          <w:tcPr>
            <w:tcW w:type="dxa" w:w="1638"/>
            <w:tcBorders>
              <w:top w:val="single" w:color="DDE2E7" w:sz="4"/>
              <w:left w:val="single" w:color="DDE2E7" w:sz="4"/>
              <w:bottom w:val="single" w:color="DDE2E7" w:sz="4"/>
              <w:right w:val="single" w:color="DDE2E7" w:sz="4"/>
            </w:tcBorders>
            <w:tcMar>
              <w:top w:type="dxa" w:w="60"/>
              <w:left w:type="dxa" w:w="90"/>
              <w:bottom w:type="dxa" w:w="60"/>
              <w:right w:type="dxa" w:w="90"/>
            </w:tcMar>
            <w:vAlign w:val="top"/>
          </w:tcPr>
          <w:p>
            <w:pPr>
              <w:spacing w:after="0" w:line="252"/>
            </w:pPr>
            <w:r>
              <w:rPr>
                <w:rFonts w:ascii="Calibri" w:cs="Calibri" w:eastAsia="Calibri" w:hAnsi="Calibri"/>
                <w:b w:val="false"/>
                <w:bCs w:val="false"/>
                <w:color w:val="0F1729"/>
                <w:sz w:val="19"/>
                <w:szCs w:val="19"/>
              </w:rPr>
              <w:t xml:space="preserve">Identity</w:t>
            </w:r>
          </w:p>
        </w:tc>
        <w:tc>
          <w:tcPr>
            <w:tcW w:type="dxa" w:w="3855"/>
            <w:tcBorders>
              <w:top w:val="single" w:color="DDE2E7" w:sz="4"/>
              <w:left w:val="single" w:color="DDE2E7" w:sz="4"/>
              <w:bottom w:val="single" w:color="DDE2E7" w:sz="4"/>
              <w:right w:val="single" w:color="DDE2E7" w:sz="4"/>
            </w:tcBorders>
            <w:tcMar>
              <w:top w:type="dxa" w:w="60"/>
              <w:left w:type="dxa" w:w="90"/>
              <w:bottom w:type="dxa" w:w="60"/>
              <w:right w:type="dxa" w:w="90"/>
            </w:tcMar>
            <w:vAlign w:val="top"/>
          </w:tcPr>
          <w:p>
            <w:pPr>
              <w:spacing w:after="0" w:line="252"/>
            </w:pPr>
            <w:r>
              <w:rPr>
                <w:rFonts w:ascii="Calibri" w:cs="Calibri" w:eastAsia="Calibri" w:hAnsi="Calibri"/>
                <w:b w:val="false"/>
                <w:bCs w:val="false"/>
                <w:color w:val="0F1729"/>
                <w:sz w:val="19"/>
                <w:szCs w:val="19"/>
              </w:rPr>
              <w:t xml:space="preserve">Amazon Cognito federated to Microsoft Entra ID (OIDC); roles and location scope as claims</w:t>
            </w:r>
          </w:p>
        </w:tc>
        <w:tc>
          <w:tcPr>
            <w:tcW w:type="dxa" w:w="4144"/>
            <w:tcBorders>
              <w:top w:val="single" w:color="DDE2E7" w:sz="4"/>
              <w:left w:val="single" w:color="DDE2E7" w:sz="4"/>
              <w:bottom w:val="single" w:color="DDE2E7" w:sz="4"/>
              <w:right w:val="single" w:color="DDE2E7" w:sz="4"/>
            </w:tcBorders>
            <w:tcMar>
              <w:top w:type="dxa" w:w="60"/>
              <w:left w:type="dxa" w:w="90"/>
              <w:bottom w:type="dxa" w:w="60"/>
              <w:right w:type="dxa" w:w="90"/>
            </w:tcMar>
            <w:vAlign w:val="top"/>
          </w:tcPr>
          <w:p>
            <w:pPr>
              <w:spacing w:after="0" w:line="252"/>
            </w:pPr>
            <w:r>
              <w:rPr>
                <w:rFonts w:ascii="Calibri" w:cs="Calibri" w:eastAsia="Calibri" w:hAnsi="Calibri"/>
                <w:b w:val="false"/>
                <w:bCs w:val="false"/>
                <w:color w:val="0F1729"/>
                <w:sz w:val="19"/>
                <w:szCs w:val="19"/>
              </w:rPr>
              <w:t xml:space="preserve">Gulftainer’s MFA and Conditional Access policies apply unchanged; privileged roles can be gated by just-in-time group membership.</w:t>
            </w:r>
          </w:p>
        </w:tc>
      </w:tr>
      <w:tr>
        <w:trPr>
          <w:cantSplit/>
          <w:tblHeader w:val="off"/>
        </w:trPr>
        <w:tc>
          <w:tcPr>
            <w:tcW w:type="dxa" w:w="1638"/>
            <w:tcBorders>
              <w:top w:val="single" w:color="DDE2E7" w:sz="4"/>
              <w:left w:val="single" w:color="DDE2E7" w:sz="4"/>
              <w:bottom w:val="single" w:color="DDE2E7" w:sz="4"/>
              <w:right w:val="single" w:color="DDE2E7" w:sz="4"/>
            </w:tcBorders>
            <w:tcMar>
              <w:top w:type="dxa" w:w="60"/>
              <w:left w:type="dxa" w:w="90"/>
              <w:bottom w:type="dxa" w:w="60"/>
              <w:right w:type="dxa" w:w="90"/>
            </w:tcMar>
            <w:vAlign w:val="top"/>
          </w:tcPr>
          <w:p>
            <w:pPr>
              <w:spacing w:after="0" w:line="252"/>
            </w:pPr>
            <w:r>
              <w:rPr>
                <w:rFonts w:ascii="Calibri" w:cs="Calibri" w:eastAsia="Calibri" w:hAnsi="Calibri"/>
                <w:b w:val="false"/>
                <w:bCs w:val="false"/>
                <w:color w:val="0F1729"/>
                <w:sz w:val="19"/>
                <w:szCs w:val="19"/>
              </w:rPr>
              <w:t xml:space="preserve">System of record</w:t>
            </w:r>
          </w:p>
        </w:tc>
        <w:tc>
          <w:tcPr>
            <w:tcW w:type="dxa" w:w="3855"/>
            <w:tcBorders>
              <w:top w:val="single" w:color="DDE2E7" w:sz="4"/>
              <w:left w:val="single" w:color="DDE2E7" w:sz="4"/>
              <w:bottom w:val="single" w:color="DDE2E7" w:sz="4"/>
              <w:right w:val="single" w:color="DDE2E7" w:sz="4"/>
            </w:tcBorders>
            <w:tcMar>
              <w:top w:type="dxa" w:w="60"/>
              <w:left w:type="dxa" w:w="90"/>
              <w:bottom w:type="dxa" w:w="60"/>
              <w:right w:type="dxa" w:w="90"/>
            </w:tcMar>
            <w:vAlign w:val="top"/>
          </w:tcPr>
          <w:p>
            <w:pPr>
              <w:spacing w:after="0" w:line="252"/>
            </w:pPr>
            <w:r>
              <w:rPr>
                <w:rFonts w:ascii="Calibri" w:cs="Calibri" w:eastAsia="Calibri" w:hAnsi="Calibri"/>
                <w:b w:val="false"/>
                <w:bCs w:val="false"/>
                <w:color w:val="0F1729"/>
                <w:sz w:val="19"/>
                <w:szCs w:val="19"/>
              </w:rPr>
              <w:t xml:space="preserve">Amazon Aurora PostgreSQL Serverless v2, Multi-AZ, point-in-time recovery, read replica</w:t>
            </w:r>
          </w:p>
        </w:tc>
        <w:tc>
          <w:tcPr>
            <w:tcW w:type="dxa" w:w="4144"/>
            <w:tcBorders>
              <w:top w:val="single" w:color="DDE2E7" w:sz="4"/>
              <w:left w:val="single" w:color="DDE2E7" w:sz="4"/>
              <w:bottom w:val="single" w:color="DDE2E7" w:sz="4"/>
              <w:right w:val="single" w:color="DDE2E7" w:sz="4"/>
            </w:tcBorders>
            <w:tcMar>
              <w:top w:type="dxa" w:w="60"/>
              <w:left w:type="dxa" w:w="90"/>
              <w:bottom w:type="dxa" w:w="60"/>
              <w:right w:type="dxa" w:w="90"/>
            </w:tcMar>
            <w:vAlign w:val="top"/>
          </w:tcPr>
          <w:p>
            <w:pPr>
              <w:spacing w:after="0" w:line="252"/>
            </w:pPr>
            <w:r>
              <w:rPr>
                <w:rFonts w:ascii="Calibri" w:cs="Calibri" w:eastAsia="Calibri" w:hAnsi="Calibri"/>
                <w:b w:val="false"/>
                <w:bCs w:val="false"/>
                <w:color w:val="0F1729"/>
                <w:sz w:val="19"/>
                <w:szCs w:val="19"/>
              </w:rPr>
              <w:t xml:space="preserve">Transactions, constraints and row locks for containers, ledger, invoices and audit; the SRS names PostgreSQL as the authoritative store.</w:t>
            </w:r>
          </w:p>
        </w:tc>
      </w:tr>
      <w:tr>
        <w:trPr>
          <w:cantSplit/>
          <w:tblHeader w:val="off"/>
        </w:trPr>
        <w:tc>
          <w:tcPr>
            <w:tcW w:type="dxa" w:w="1638"/>
            <w:tcBorders>
              <w:top w:val="single" w:color="DDE2E7" w:sz="4"/>
              <w:left w:val="single" w:color="DDE2E7" w:sz="4"/>
              <w:bottom w:val="single" w:color="DDE2E7" w:sz="4"/>
              <w:right w:val="single" w:color="DDE2E7" w:sz="4"/>
            </w:tcBorders>
            <w:tcMar>
              <w:top w:type="dxa" w:w="60"/>
              <w:left w:type="dxa" w:w="90"/>
              <w:bottom w:type="dxa" w:w="60"/>
              <w:right w:type="dxa" w:w="90"/>
            </w:tcMar>
            <w:vAlign w:val="top"/>
          </w:tcPr>
          <w:p>
            <w:pPr>
              <w:spacing w:after="0" w:line="252"/>
            </w:pPr>
            <w:r>
              <w:rPr>
                <w:rFonts w:ascii="Calibri" w:cs="Calibri" w:eastAsia="Calibri" w:hAnsi="Calibri"/>
                <w:b w:val="false"/>
                <w:bCs w:val="false"/>
                <w:color w:val="0F1729"/>
                <w:sz w:val="19"/>
                <w:szCs w:val="19"/>
              </w:rPr>
              <w:t xml:space="preserve">Operational key-value</w:t>
            </w:r>
          </w:p>
        </w:tc>
        <w:tc>
          <w:tcPr>
            <w:tcW w:type="dxa" w:w="3855"/>
            <w:tcBorders>
              <w:top w:val="single" w:color="DDE2E7" w:sz="4"/>
              <w:left w:val="single" w:color="DDE2E7" w:sz="4"/>
              <w:bottom w:val="single" w:color="DDE2E7" w:sz="4"/>
              <w:right w:val="single" w:color="DDE2E7" w:sz="4"/>
            </w:tcBorders>
            <w:tcMar>
              <w:top w:type="dxa" w:w="60"/>
              <w:left w:type="dxa" w:w="90"/>
              <w:bottom w:type="dxa" w:w="60"/>
              <w:right w:type="dxa" w:w="90"/>
            </w:tcMar>
            <w:vAlign w:val="top"/>
          </w:tcPr>
          <w:p>
            <w:pPr>
              <w:spacing w:after="0" w:line="252"/>
            </w:pPr>
            <w:r>
              <w:rPr>
                <w:rFonts w:ascii="Calibri" w:cs="Calibri" w:eastAsia="Calibri" w:hAnsi="Calibri"/>
                <w:b w:val="false"/>
                <w:bCs w:val="false"/>
                <w:color w:val="0F1729"/>
                <w:sz w:val="19"/>
                <w:szCs w:val="19"/>
              </w:rPr>
              <w:t xml:space="preserve">Amazon DynamoDB with TTL and on-demand capacity</w:t>
            </w:r>
          </w:p>
        </w:tc>
        <w:tc>
          <w:tcPr>
            <w:tcW w:type="dxa" w:w="4144"/>
            <w:tcBorders>
              <w:top w:val="single" w:color="DDE2E7" w:sz="4"/>
              <w:left w:val="single" w:color="DDE2E7" w:sz="4"/>
              <w:bottom w:val="single" w:color="DDE2E7" w:sz="4"/>
              <w:right w:val="single" w:color="DDE2E7" w:sz="4"/>
            </w:tcBorders>
            <w:tcMar>
              <w:top w:type="dxa" w:w="60"/>
              <w:left w:type="dxa" w:w="90"/>
              <w:bottom w:type="dxa" w:w="60"/>
              <w:right w:type="dxa" w:w="90"/>
            </w:tcMar>
            <w:vAlign w:val="top"/>
          </w:tcPr>
          <w:p>
            <w:pPr>
              <w:spacing w:after="0" w:line="252"/>
            </w:pPr>
            <w:r>
              <w:rPr>
                <w:rFonts w:ascii="Calibri" w:cs="Calibri" w:eastAsia="Calibri" w:hAnsi="Calibri"/>
                <w:b w:val="false"/>
                <w:bCs w:val="false"/>
                <w:color w:val="0F1729"/>
                <w:sz w:val="19"/>
                <w:szCs w:val="19"/>
              </w:rPr>
              <w:t xml:space="preserve">Idempotency keys, e-token slot counters, gate device sessions, offline queue acknowledgements, throttle counters: single-digit millisecond reads at gate peaks without touching PostgreSQL.</w:t>
            </w:r>
          </w:p>
        </w:tc>
      </w:tr>
      <w:tr>
        <w:trPr>
          <w:cantSplit/>
          <w:tblHeader w:val="off"/>
        </w:trPr>
        <w:tc>
          <w:tcPr>
            <w:tcW w:type="dxa" w:w="1638"/>
            <w:tcBorders>
              <w:top w:val="single" w:color="DDE2E7" w:sz="4"/>
              <w:left w:val="single" w:color="DDE2E7" w:sz="4"/>
              <w:bottom w:val="single" w:color="DDE2E7" w:sz="4"/>
              <w:right w:val="single" w:color="DDE2E7" w:sz="4"/>
            </w:tcBorders>
            <w:tcMar>
              <w:top w:type="dxa" w:w="60"/>
              <w:left w:type="dxa" w:w="90"/>
              <w:bottom w:type="dxa" w:w="60"/>
              <w:right w:type="dxa" w:w="90"/>
            </w:tcMar>
            <w:vAlign w:val="top"/>
          </w:tcPr>
          <w:p>
            <w:pPr>
              <w:spacing w:after="0" w:line="252"/>
            </w:pPr>
            <w:r>
              <w:rPr>
                <w:rFonts w:ascii="Calibri" w:cs="Calibri" w:eastAsia="Calibri" w:hAnsi="Calibri"/>
                <w:b w:val="false"/>
                <w:bCs w:val="false"/>
                <w:color w:val="0F1729"/>
                <w:sz w:val="19"/>
                <w:szCs w:val="19"/>
              </w:rPr>
              <w:t xml:space="preserve">Documents</w:t>
            </w:r>
          </w:p>
        </w:tc>
        <w:tc>
          <w:tcPr>
            <w:tcW w:type="dxa" w:w="3855"/>
            <w:tcBorders>
              <w:top w:val="single" w:color="DDE2E7" w:sz="4"/>
              <w:left w:val="single" w:color="DDE2E7" w:sz="4"/>
              <w:bottom w:val="single" w:color="DDE2E7" w:sz="4"/>
              <w:right w:val="single" w:color="DDE2E7" w:sz="4"/>
            </w:tcBorders>
            <w:tcMar>
              <w:top w:type="dxa" w:w="60"/>
              <w:left w:type="dxa" w:w="90"/>
              <w:bottom w:type="dxa" w:w="60"/>
              <w:right w:type="dxa" w:w="90"/>
            </w:tcMar>
            <w:vAlign w:val="top"/>
          </w:tcPr>
          <w:p>
            <w:pPr>
              <w:spacing w:after="0" w:line="252"/>
            </w:pPr>
            <w:r>
              <w:rPr>
                <w:rFonts w:ascii="Calibri" w:cs="Calibri" w:eastAsia="Calibri" w:hAnsi="Calibri"/>
                <w:b w:val="false"/>
                <w:bCs w:val="false"/>
                <w:color w:val="0F1729"/>
                <w:sz w:val="19"/>
                <w:szCs w:val="19"/>
              </w:rPr>
              <w:t xml:space="preserve">Amazon S3 with SSE-KMS, versioning, Object Lock (compliance mode) for legal documents, lifecycle rules per retention policy</w:t>
            </w:r>
          </w:p>
        </w:tc>
        <w:tc>
          <w:tcPr>
            <w:tcW w:type="dxa" w:w="4144"/>
            <w:tcBorders>
              <w:top w:val="single" w:color="DDE2E7" w:sz="4"/>
              <w:left w:val="single" w:color="DDE2E7" w:sz="4"/>
              <w:bottom w:val="single" w:color="DDE2E7" w:sz="4"/>
              <w:right w:val="single" w:color="DDE2E7" w:sz="4"/>
            </w:tcBorders>
            <w:tcMar>
              <w:top w:type="dxa" w:w="60"/>
              <w:left w:type="dxa" w:w="90"/>
              <w:bottom w:type="dxa" w:w="60"/>
              <w:right w:type="dxa" w:w="90"/>
            </w:tcMar>
            <w:vAlign w:val="top"/>
          </w:tcPr>
          <w:p>
            <w:pPr>
              <w:spacing w:after="0" w:line="252"/>
            </w:pPr>
            <w:r>
              <w:rPr>
                <w:rFonts w:ascii="Calibri" w:cs="Calibri" w:eastAsia="Calibri" w:hAnsi="Calibri"/>
                <w:b w:val="false"/>
                <w:bCs w:val="false"/>
                <w:color w:val="0F1729"/>
                <w:sz w:val="19"/>
                <w:szCs w:val="19"/>
              </w:rPr>
              <w:t xml:space="preserve">Delivery orders, EIRs, DG declarations and PODs must be kept unaltered for years; S3 does this natively.</w:t>
            </w:r>
          </w:p>
        </w:tc>
      </w:tr>
      <w:tr>
        <w:trPr>
          <w:cantSplit/>
          <w:tblHeader w:val="off"/>
        </w:trPr>
        <w:tc>
          <w:tcPr>
            <w:tcW w:type="dxa" w:w="1638"/>
            <w:tcBorders>
              <w:top w:val="single" w:color="DDE2E7" w:sz="4"/>
              <w:left w:val="single" w:color="DDE2E7" w:sz="4"/>
              <w:bottom w:val="single" w:color="DDE2E7" w:sz="4"/>
              <w:right w:val="single" w:color="DDE2E7" w:sz="4"/>
            </w:tcBorders>
            <w:tcMar>
              <w:top w:type="dxa" w:w="60"/>
              <w:left w:type="dxa" w:w="90"/>
              <w:bottom w:type="dxa" w:w="60"/>
              <w:right w:type="dxa" w:w="90"/>
            </w:tcMar>
            <w:vAlign w:val="top"/>
          </w:tcPr>
          <w:p>
            <w:pPr>
              <w:spacing w:after="0" w:line="252"/>
            </w:pPr>
            <w:r>
              <w:rPr>
                <w:rFonts w:ascii="Calibri" w:cs="Calibri" w:eastAsia="Calibri" w:hAnsi="Calibri"/>
                <w:b w:val="false"/>
                <w:bCs w:val="false"/>
                <w:color w:val="0F1729"/>
                <w:sz w:val="19"/>
                <w:szCs w:val="19"/>
              </w:rPr>
              <w:t xml:space="preserve">Histories and feeds</w:t>
            </w:r>
          </w:p>
        </w:tc>
        <w:tc>
          <w:tcPr>
            <w:tcW w:type="dxa" w:w="3855"/>
            <w:tcBorders>
              <w:top w:val="single" w:color="DDE2E7" w:sz="4"/>
              <w:left w:val="single" w:color="DDE2E7" w:sz="4"/>
              <w:bottom w:val="single" w:color="DDE2E7" w:sz="4"/>
              <w:right w:val="single" w:color="DDE2E7" w:sz="4"/>
            </w:tcBorders>
            <w:tcMar>
              <w:top w:type="dxa" w:w="60"/>
              <w:left w:type="dxa" w:w="90"/>
              <w:bottom w:type="dxa" w:w="60"/>
              <w:right w:type="dxa" w:w="90"/>
            </w:tcMar>
            <w:vAlign w:val="top"/>
          </w:tcPr>
          <w:p>
            <w:pPr>
              <w:spacing w:after="0" w:line="252"/>
            </w:pPr>
            <w:r>
              <w:rPr>
                <w:rFonts w:ascii="Calibri" w:cs="Calibri" w:eastAsia="Calibri" w:hAnsi="Calibri"/>
                <w:b w:val="false"/>
                <w:bCs w:val="false"/>
                <w:color w:val="0F1729"/>
                <w:sz w:val="19"/>
                <w:szCs w:val="19"/>
              </w:rPr>
              <w:t xml:space="preserve">MongoDB Atlas on AWS, me-central-1, with time-series collections</w:t>
            </w:r>
          </w:p>
        </w:tc>
        <w:tc>
          <w:tcPr>
            <w:tcW w:type="dxa" w:w="4144"/>
            <w:tcBorders>
              <w:top w:val="single" w:color="DDE2E7" w:sz="4"/>
              <w:left w:val="single" w:color="DDE2E7" w:sz="4"/>
              <w:bottom w:val="single" w:color="DDE2E7" w:sz="4"/>
              <w:right w:val="single" w:color="DDE2E7" w:sz="4"/>
            </w:tcBorders>
            <w:tcMar>
              <w:top w:type="dxa" w:w="60"/>
              <w:left w:type="dxa" w:w="90"/>
              <w:bottom w:type="dxa" w:w="60"/>
              <w:right w:type="dxa" w:w="90"/>
            </w:tcMar>
            <w:vAlign w:val="top"/>
          </w:tcPr>
          <w:p>
            <w:pPr>
              <w:spacing w:after="0" w:line="252"/>
            </w:pPr>
            <w:r>
              <w:rPr>
                <w:rFonts w:ascii="Calibri" w:cs="Calibri" w:eastAsia="Calibri" w:hAnsi="Calibri"/>
                <w:b w:val="false"/>
                <w:bCs w:val="false"/>
                <w:color w:val="0F1729"/>
                <w:sz w:val="19"/>
                <w:szCs w:val="19"/>
              </w:rPr>
              <w:t xml:space="preserve">Container event history, notification feeds, integration message archive, reefer readings and report snapshots are append-heavy, read-mostly documents that do not need relational joins.</w:t>
            </w:r>
          </w:p>
        </w:tc>
      </w:tr>
      <w:tr>
        <w:trPr>
          <w:cantSplit/>
          <w:tblHeader w:val="off"/>
        </w:trPr>
        <w:tc>
          <w:tcPr>
            <w:tcW w:type="dxa" w:w="1638"/>
            <w:tcBorders>
              <w:top w:val="single" w:color="DDE2E7" w:sz="4"/>
              <w:left w:val="single" w:color="DDE2E7" w:sz="4"/>
              <w:bottom w:val="single" w:color="DDE2E7" w:sz="4"/>
              <w:right w:val="single" w:color="DDE2E7" w:sz="4"/>
            </w:tcBorders>
            <w:tcMar>
              <w:top w:type="dxa" w:w="60"/>
              <w:left w:type="dxa" w:w="90"/>
              <w:bottom w:type="dxa" w:w="60"/>
              <w:right w:type="dxa" w:w="90"/>
            </w:tcMar>
            <w:vAlign w:val="top"/>
          </w:tcPr>
          <w:p>
            <w:pPr>
              <w:spacing w:after="0" w:line="252"/>
            </w:pPr>
            <w:r>
              <w:rPr>
                <w:rFonts w:ascii="Calibri" w:cs="Calibri" w:eastAsia="Calibri" w:hAnsi="Calibri"/>
                <w:b w:val="false"/>
                <w:bCs w:val="false"/>
                <w:color w:val="0F1729"/>
                <w:sz w:val="19"/>
                <w:szCs w:val="19"/>
              </w:rPr>
              <w:t xml:space="preserve">Messaging</w:t>
            </w:r>
          </w:p>
        </w:tc>
        <w:tc>
          <w:tcPr>
            <w:tcW w:type="dxa" w:w="3855"/>
            <w:tcBorders>
              <w:top w:val="single" w:color="DDE2E7" w:sz="4"/>
              <w:left w:val="single" w:color="DDE2E7" w:sz="4"/>
              <w:bottom w:val="single" w:color="DDE2E7" w:sz="4"/>
              <w:right w:val="single" w:color="DDE2E7" w:sz="4"/>
            </w:tcBorders>
            <w:tcMar>
              <w:top w:type="dxa" w:w="60"/>
              <w:left w:type="dxa" w:w="90"/>
              <w:bottom w:type="dxa" w:w="60"/>
              <w:right w:type="dxa" w:w="90"/>
            </w:tcMar>
            <w:vAlign w:val="top"/>
          </w:tcPr>
          <w:p>
            <w:pPr>
              <w:spacing w:after="0" w:line="252"/>
            </w:pPr>
            <w:r>
              <w:rPr>
                <w:rFonts w:ascii="Calibri" w:cs="Calibri" w:eastAsia="Calibri" w:hAnsi="Calibri"/>
                <w:b w:val="false"/>
                <w:bCs w:val="false"/>
                <w:color w:val="0F1729"/>
                <w:sz w:val="19"/>
                <w:szCs w:val="19"/>
              </w:rPr>
              <w:t xml:space="preserve">Amazon EventBridge and SQS with dead-letter queues</w:t>
            </w:r>
          </w:p>
        </w:tc>
        <w:tc>
          <w:tcPr>
            <w:tcW w:type="dxa" w:w="4144"/>
            <w:tcBorders>
              <w:top w:val="single" w:color="DDE2E7" w:sz="4"/>
              <w:left w:val="single" w:color="DDE2E7" w:sz="4"/>
              <w:bottom w:val="single" w:color="DDE2E7" w:sz="4"/>
              <w:right w:val="single" w:color="DDE2E7" w:sz="4"/>
            </w:tcBorders>
            <w:tcMar>
              <w:top w:type="dxa" w:w="60"/>
              <w:left w:type="dxa" w:w="90"/>
              <w:bottom w:type="dxa" w:w="60"/>
              <w:right w:type="dxa" w:w="90"/>
            </w:tcMar>
            <w:vAlign w:val="top"/>
          </w:tcPr>
          <w:p>
            <w:pPr>
              <w:spacing w:after="0" w:line="252"/>
            </w:pPr>
            <w:r>
              <w:rPr>
                <w:rFonts w:ascii="Calibri" w:cs="Calibri" w:eastAsia="Calibri" w:hAnsi="Calibri"/>
                <w:b w:val="false"/>
                <w:bCs w:val="false"/>
                <w:color w:val="0F1729"/>
                <w:sz w:val="19"/>
                <w:szCs w:val="19"/>
              </w:rPr>
              <w:t xml:space="preserve">Outbox events fan out to history, notifications, SAP posting and partner webhooks with retries and isolation.</w:t>
            </w:r>
          </w:p>
        </w:tc>
      </w:tr>
      <w:tr>
        <w:trPr>
          <w:cantSplit/>
          <w:tblHeader w:val="off"/>
        </w:trPr>
        <w:tc>
          <w:tcPr>
            <w:tcW w:type="dxa" w:w="1638"/>
            <w:tcBorders>
              <w:top w:val="single" w:color="DDE2E7" w:sz="4"/>
              <w:left w:val="single" w:color="DDE2E7" w:sz="4"/>
              <w:bottom w:val="single" w:color="DDE2E7" w:sz="4"/>
              <w:right w:val="single" w:color="DDE2E7" w:sz="4"/>
            </w:tcBorders>
            <w:tcMar>
              <w:top w:type="dxa" w:w="60"/>
              <w:left w:type="dxa" w:w="90"/>
              <w:bottom w:type="dxa" w:w="60"/>
              <w:right w:type="dxa" w:w="90"/>
            </w:tcMar>
            <w:vAlign w:val="top"/>
          </w:tcPr>
          <w:p>
            <w:pPr>
              <w:spacing w:after="0" w:line="252"/>
            </w:pPr>
            <w:r>
              <w:rPr>
                <w:rFonts w:ascii="Calibri" w:cs="Calibri" w:eastAsia="Calibri" w:hAnsi="Calibri"/>
                <w:b w:val="false"/>
                <w:bCs w:val="false"/>
                <w:color w:val="0F1729"/>
                <w:sz w:val="19"/>
                <w:szCs w:val="19"/>
              </w:rPr>
              <w:t xml:space="preserve">Cache</w:t>
            </w:r>
          </w:p>
        </w:tc>
        <w:tc>
          <w:tcPr>
            <w:tcW w:type="dxa" w:w="3855"/>
            <w:tcBorders>
              <w:top w:val="single" w:color="DDE2E7" w:sz="4"/>
              <w:left w:val="single" w:color="DDE2E7" w:sz="4"/>
              <w:bottom w:val="single" w:color="DDE2E7" w:sz="4"/>
              <w:right w:val="single" w:color="DDE2E7" w:sz="4"/>
            </w:tcBorders>
            <w:tcMar>
              <w:top w:type="dxa" w:w="60"/>
              <w:left w:type="dxa" w:w="90"/>
              <w:bottom w:type="dxa" w:w="60"/>
              <w:right w:type="dxa" w:w="90"/>
            </w:tcMar>
            <w:vAlign w:val="top"/>
          </w:tcPr>
          <w:p>
            <w:pPr>
              <w:spacing w:after="0" w:line="252"/>
            </w:pPr>
            <w:r>
              <w:rPr>
                <w:rFonts w:ascii="Calibri" w:cs="Calibri" w:eastAsia="Calibri" w:hAnsi="Calibri"/>
                <w:b w:val="false"/>
                <w:bCs w:val="false"/>
                <w:color w:val="0F1729"/>
                <w:sz w:val="19"/>
                <w:szCs w:val="19"/>
              </w:rPr>
              <w:t xml:space="preserve">Amazon ElastiCache for Redis</w:t>
            </w:r>
          </w:p>
        </w:tc>
        <w:tc>
          <w:tcPr>
            <w:tcW w:type="dxa" w:w="4144"/>
            <w:tcBorders>
              <w:top w:val="single" w:color="DDE2E7" w:sz="4"/>
              <w:left w:val="single" w:color="DDE2E7" w:sz="4"/>
              <w:bottom w:val="single" w:color="DDE2E7" w:sz="4"/>
              <w:right w:val="single" w:color="DDE2E7" w:sz="4"/>
            </w:tcBorders>
            <w:tcMar>
              <w:top w:type="dxa" w:w="60"/>
              <w:left w:type="dxa" w:w="90"/>
              <w:bottom w:type="dxa" w:w="60"/>
              <w:right w:type="dxa" w:w="90"/>
            </w:tcMar>
            <w:vAlign w:val="top"/>
          </w:tcPr>
          <w:p>
            <w:pPr>
              <w:spacing w:after="0" w:line="252"/>
            </w:pPr>
            <w:r>
              <w:rPr>
                <w:rFonts w:ascii="Calibri" w:cs="Calibri" w:eastAsia="Calibri" w:hAnsi="Calibri"/>
                <w:b w:val="false"/>
                <w:bCs w:val="false"/>
                <w:color w:val="0F1729"/>
                <w:sz w:val="19"/>
                <w:szCs w:val="19"/>
              </w:rPr>
              <w:t xml:space="preserve">Vessel schedule, tariff and portal throttles.</w:t>
            </w:r>
          </w:p>
        </w:tc>
      </w:tr>
      <w:tr>
        <w:trPr>
          <w:cantSplit/>
          <w:tblHeader w:val="off"/>
        </w:trPr>
        <w:tc>
          <w:tcPr>
            <w:tcW w:type="dxa" w:w="1638"/>
            <w:tcBorders>
              <w:top w:val="single" w:color="DDE2E7" w:sz="4"/>
              <w:left w:val="single" w:color="DDE2E7" w:sz="4"/>
              <w:bottom w:val="single" w:color="DDE2E7" w:sz="4"/>
              <w:right w:val="single" w:color="DDE2E7" w:sz="4"/>
            </w:tcBorders>
            <w:tcMar>
              <w:top w:type="dxa" w:w="60"/>
              <w:left w:type="dxa" w:w="90"/>
              <w:bottom w:type="dxa" w:w="60"/>
              <w:right w:type="dxa" w:w="90"/>
            </w:tcMar>
            <w:vAlign w:val="top"/>
          </w:tcPr>
          <w:p>
            <w:pPr>
              <w:spacing w:after="0" w:line="252"/>
            </w:pPr>
            <w:r>
              <w:rPr>
                <w:rFonts w:ascii="Calibri" w:cs="Calibri" w:eastAsia="Calibri" w:hAnsi="Calibri"/>
                <w:b w:val="false"/>
                <w:bCs w:val="false"/>
                <w:color w:val="0F1729"/>
                <w:sz w:val="19"/>
                <w:szCs w:val="19"/>
              </w:rPr>
              <w:t xml:space="preserve">Notifications</w:t>
            </w:r>
          </w:p>
        </w:tc>
        <w:tc>
          <w:tcPr>
            <w:tcW w:type="dxa" w:w="3855"/>
            <w:tcBorders>
              <w:top w:val="single" w:color="DDE2E7" w:sz="4"/>
              <w:left w:val="single" w:color="DDE2E7" w:sz="4"/>
              <w:bottom w:val="single" w:color="DDE2E7" w:sz="4"/>
              <w:right w:val="single" w:color="DDE2E7" w:sz="4"/>
            </w:tcBorders>
            <w:tcMar>
              <w:top w:type="dxa" w:w="60"/>
              <w:left w:type="dxa" w:w="90"/>
              <w:bottom w:type="dxa" w:w="60"/>
              <w:right w:type="dxa" w:w="90"/>
            </w:tcMar>
            <w:vAlign w:val="top"/>
          </w:tcPr>
          <w:p>
            <w:pPr>
              <w:spacing w:after="0" w:line="252"/>
            </w:pPr>
            <w:r>
              <w:rPr>
                <w:rFonts w:ascii="Calibri" w:cs="Calibri" w:eastAsia="Calibri" w:hAnsi="Calibri"/>
                <w:b w:val="false"/>
                <w:bCs w:val="false"/>
                <w:color w:val="0F1729"/>
                <w:sz w:val="19"/>
                <w:szCs w:val="19"/>
              </w:rPr>
              <w:t xml:space="preserve">Amazon SES and SNS, SMS through a UAE-approved provider</w:t>
            </w:r>
          </w:p>
        </w:tc>
        <w:tc>
          <w:tcPr>
            <w:tcW w:type="dxa" w:w="4144"/>
            <w:tcBorders>
              <w:top w:val="single" w:color="DDE2E7" w:sz="4"/>
              <w:left w:val="single" w:color="DDE2E7" w:sz="4"/>
              <w:bottom w:val="single" w:color="DDE2E7" w:sz="4"/>
              <w:right w:val="single" w:color="DDE2E7" w:sz="4"/>
            </w:tcBorders>
            <w:tcMar>
              <w:top w:type="dxa" w:w="60"/>
              <w:left w:type="dxa" w:w="90"/>
              <w:bottom w:type="dxa" w:w="60"/>
              <w:right w:type="dxa" w:w="90"/>
            </w:tcMar>
            <w:vAlign w:val="top"/>
          </w:tcPr>
          <w:p>
            <w:pPr>
              <w:spacing w:after="0" w:line="252"/>
            </w:pPr>
            <w:r>
              <w:rPr>
                <w:rFonts w:ascii="Calibri" w:cs="Calibri" w:eastAsia="Calibri" w:hAnsi="Calibri"/>
                <w:b w:val="false"/>
                <w:bCs w:val="false"/>
                <w:color w:val="0F1729"/>
                <w:sz w:val="19"/>
                <w:szCs w:val="19"/>
              </w:rPr>
              <w:t xml:space="preserve">Container ready, token confirmation, invoice issued.</w:t>
            </w:r>
          </w:p>
        </w:tc>
      </w:tr>
      <w:tr>
        <w:trPr>
          <w:cantSplit/>
          <w:tblHeader w:val="off"/>
        </w:trPr>
        <w:tc>
          <w:tcPr>
            <w:tcW w:type="dxa" w:w="1638"/>
            <w:tcBorders>
              <w:top w:val="single" w:color="DDE2E7" w:sz="4"/>
              <w:left w:val="single" w:color="DDE2E7" w:sz="4"/>
              <w:bottom w:val="single" w:color="DDE2E7" w:sz="4"/>
              <w:right w:val="single" w:color="DDE2E7" w:sz="4"/>
            </w:tcBorders>
            <w:tcMar>
              <w:top w:type="dxa" w:w="60"/>
              <w:left w:type="dxa" w:w="90"/>
              <w:bottom w:type="dxa" w:w="60"/>
              <w:right w:type="dxa" w:w="90"/>
            </w:tcMar>
            <w:vAlign w:val="top"/>
          </w:tcPr>
          <w:p>
            <w:pPr>
              <w:spacing w:after="0" w:line="252"/>
            </w:pPr>
            <w:r>
              <w:rPr>
                <w:rFonts w:ascii="Calibri" w:cs="Calibri" w:eastAsia="Calibri" w:hAnsi="Calibri"/>
                <w:b w:val="false"/>
                <w:bCs w:val="false"/>
                <w:color w:val="0F1729"/>
                <w:sz w:val="19"/>
                <w:szCs w:val="19"/>
              </w:rPr>
              <w:t xml:space="preserve">Integration</w:t>
            </w:r>
          </w:p>
        </w:tc>
        <w:tc>
          <w:tcPr>
            <w:tcW w:type="dxa" w:w="3855"/>
            <w:tcBorders>
              <w:top w:val="single" w:color="DDE2E7" w:sz="4"/>
              <w:left w:val="single" w:color="DDE2E7" w:sz="4"/>
              <w:bottom w:val="single" w:color="DDE2E7" w:sz="4"/>
              <w:right w:val="single" w:color="DDE2E7" w:sz="4"/>
            </w:tcBorders>
            <w:tcMar>
              <w:top w:type="dxa" w:w="60"/>
              <w:left w:type="dxa" w:w="90"/>
              <w:bottom w:type="dxa" w:w="60"/>
              <w:right w:type="dxa" w:w="90"/>
            </w:tcMar>
            <w:vAlign w:val="top"/>
          </w:tcPr>
          <w:p>
            <w:pPr>
              <w:spacing w:after="0" w:line="252"/>
            </w:pPr>
            <w:r>
              <w:rPr>
                <w:rFonts w:ascii="Calibri" w:cs="Calibri" w:eastAsia="Calibri" w:hAnsi="Calibri"/>
                <w:b w:val="false"/>
                <w:bCs w:val="false"/>
                <w:color w:val="0F1729"/>
                <w:sz w:val="19"/>
                <w:szCs w:val="19"/>
              </w:rPr>
              <w:t xml:space="preserve">Lambda workers on SQS; EDI parsing (BAPLIE, COPRAR, CODECO); SAP S/4HANA through its REST or IDoc interfaces; customs through the Sharjah Customs interface</w:t>
            </w:r>
          </w:p>
        </w:tc>
        <w:tc>
          <w:tcPr>
            <w:tcW w:type="dxa" w:w="4144"/>
            <w:tcBorders>
              <w:top w:val="single" w:color="DDE2E7" w:sz="4"/>
              <w:left w:val="single" w:color="DDE2E7" w:sz="4"/>
              <w:bottom w:val="single" w:color="DDE2E7" w:sz="4"/>
              <w:right w:val="single" w:color="DDE2E7" w:sz="4"/>
            </w:tcBorders>
            <w:tcMar>
              <w:top w:type="dxa" w:w="60"/>
              <w:left w:type="dxa" w:w="90"/>
              <w:bottom w:type="dxa" w:w="60"/>
              <w:right w:type="dxa" w:w="90"/>
            </w:tcMar>
            <w:vAlign w:val="top"/>
          </w:tcPr>
          <w:p>
            <w:pPr>
              <w:spacing w:after="0" w:line="252"/>
            </w:pPr>
            <w:r>
              <w:rPr>
                <w:rFonts w:ascii="Calibri" w:cs="Calibri" w:eastAsia="Calibri" w:hAnsi="Calibri"/>
                <w:b w:val="false"/>
                <w:bCs w:val="false"/>
                <w:color w:val="0F1729"/>
                <w:sz w:val="19"/>
                <w:szCs w:val="19"/>
              </w:rPr>
              <w:t xml:space="preserve">Every inbound message carries a provider and event id for de-duplication.</w:t>
            </w:r>
          </w:p>
        </w:tc>
      </w:tr>
      <w:tr>
        <w:trPr>
          <w:cantSplit/>
          <w:tblHeader w:val="off"/>
        </w:trPr>
        <w:tc>
          <w:tcPr>
            <w:tcW w:type="dxa" w:w="1638"/>
            <w:tcBorders>
              <w:top w:val="single" w:color="DDE2E7" w:sz="4"/>
              <w:left w:val="single" w:color="DDE2E7" w:sz="4"/>
              <w:bottom w:val="single" w:color="DDE2E7" w:sz="4"/>
              <w:right w:val="single" w:color="DDE2E7" w:sz="4"/>
            </w:tcBorders>
            <w:tcMar>
              <w:top w:type="dxa" w:w="60"/>
              <w:left w:type="dxa" w:w="90"/>
              <w:bottom w:type="dxa" w:w="60"/>
              <w:right w:type="dxa" w:w="90"/>
            </w:tcMar>
            <w:vAlign w:val="top"/>
          </w:tcPr>
          <w:p>
            <w:pPr>
              <w:spacing w:after="0" w:line="252"/>
            </w:pPr>
            <w:r>
              <w:rPr>
                <w:rFonts w:ascii="Calibri" w:cs="Calibri" w:eastAsia="Calibri" w:hAnsi="Calibri"/>
                <w:b w:val="false"/>
                <w:bCs w:val="false"/>
                <w:color w:val="0F1729"/>
                <w:sz w:val="19"/>
                <w:szCs w:val="19"/>
              </w:rPr>
              <w:t xml:space="preserve">Infrastructure as code and delivery</w:t>
            </w:r>
          </w:p>
        </w:tc>
        <w:tc>
          <w:tcPr>
            <w:tcW w:type="dxa" w:w="3855"/>
            <w:tcBorders>
              <w:top w:val="single" w:color="DDE2E7" w:sz="4"/>
              <w:left w:val="single" w:color="DDE2E7" w:sz="4"/>
              <w:bottom w:val="single" w:color="DDE2E7" w:sz="4"/>
              <w:right w:val="single" w:color="DDE2E7" w:sz="4"/>
            </w:tcBorders>
            <w:tcMar>
              <w:top w:type="dxa" w:w="60"/>
              <w:left w:type="dxa" w:w="90"/>
              <w:bottom w:type="dxa" w:w="60"/>
              <w:right w:type="dxa" w:w="90"/>
            </w:tcMar>
            <w:vAlign w:val="top"/>
          </w:tcPr>
          <w:p>
            <w:pPr>
              <w:spacing w:after="0" w:line="252"/>
            </w:pPr>
            <w:r>
              <w:rPr>
                <w:rFonts w:ascii="Calibri" w:cs="Calibri" w:eastAsia="Calibri" w:hAnsi="Calibri"/>
                <w:b w:val="false"/>
                <w:bCs w:val="false"/>
                <w:color w:val="0F1729"/>
                <w:sz w:val="19"/>
                <w:szCs w:val="19"/>
              </w:rPr>
              <w:t xml:space="preserve">AWS CDK (TypeScript), GitHub Actions, four accounts (development, test, staging, production), canary releases</w:t>
            </w:r>
          </w:p>
        </w:tc>
        <w:tc>
          <w:tcPr>
            <w:tcW w:type="dxa" w:w="4144"/>
            <w:tcBorders>
              <w:top w:val="single" w:color="DDE2E7" w:sz="4"/>
              <w:left w:val="single" w:color="DDE2E7" w:sz="4"/>
              <w:bottom w:val="single" w:color="DDE2E7" w:sz="4"/>
              <w:right w:val="single" w:color="DDE2E7" w:sz="4"/>
            </w:tcBorders>
            <w:tcMar>
              <w:top w:type="dxa" w:w="60"/>
              <w:left w:type="dxa" w:w="90"/>
              <w:bottom w:type="dxa" w:w="60"/>
              <w:right w:type="dxa" w:w="90"/>
            </w:tcMar>
            <w:vAlign w:val="top"/>
          </w:tcPr>
          <w:p>
            <w:pPr>
              <w:spacing w:after="0" w:line="252"/>
            </w:pPr>
            <w:r>
              <w:rPr>
                <w:rFonts w:ascii="Calibri" w:cs="Calibri" w:eastAsia="Calibri" w:hAnsi="Calibri"/>
                <w:b w:val="false"/>
                <w:bCs w:val="false"/>
                <w:color w:val="0F1729"/>
                <w:sz w:val="19"/>
                <w:szCs w:val="19"/>
              </w:rPr>
              <w:t xml:space="preserve">Reviewable, repeatable environments; rollback is a redeploy of the previous artefact.</w:t>
            </w:r>
          </w:p>
        </w:tc>
      </w:tr>
      <w:tr>
        <w:trPr>
          <w:cantSplit/>
          <w:tblHeader w:val="off"/>
        </w:trPr>
        <w:tc>
          <w:tcPr>
            <w:tcW w:type="dxa" w:w="1638"/>
            <w:tcBorders>
              <w:top w:val="single" w:color="DDE2E7" w:sz="4"/>
              <w:left w:val="single" w:color="DDE2E7" w:sz="4"/>
              <w:bottom w:val="single" w:color="DDE2E7" w:sz="4"/>
              <w:right w:val="single" w:color="DDE2E7" w:sz="4"/>
            </w:tcBorders>
            <w:tcMar>
              <w:top w:type="dxa" w:w="60"/>
              <w:left w:type="dxa" w:w="90"/>
              <w:bottom w:type="dxa" w:w="60"/>
              <w:right w:type="dxa" w:w="90"/>
            </w:tcMar>
            <w:vAlign w:val="top"/>
          </w:tcPr>
          <w:p>
            <w:pPr>
              <w:spacing w:after="0" w:line="252"/>
            </w:pPr>
            <w:r>
              <w:rPr>
                <w:rFonts w:ascii="Calibri" w:cs="Calibri" w:eastAsia="Calibri" w:hAnsi="Calibri"/>
                <w:b w:val="false"/>
                <w:bCs w:val="false"/>
                <w:color w:val="0F1729"/>
                <w:sz w:val="19"/>
                <w:szCs w:val="19"/>
              </w:rPr>
              <w:t xml:space="preserve">Observability</w:t>
            </w:r>
          </w:p>
        </w:tc>
        <w:tc>
          <w:tcPr>
            <w:tcW w:type="dxa" w:w="3855"/>
            <w:tcBorders>
              <w:top w:val="single" w:color="DDE2E7" w:sz="4"/>
              <w:left w:val="single" w:color="DDE2E7" w:sz="4"/>
              <w:bottom w:val="single" w:color="DDE2E7" w:sz="4"/>
              <w:right w:val="single" w:color="DDE2E7" w:sz="4"/>
            </w:tcBorders>
            <w:tcMar>
              <w:top w:type="dxa" w:w="60"/>
              <w:left w:type="dxa" w:w="90"/>
              <w:bottom w:type="dxa" w:w="60"/>
              <w:right w:type="dxa" w:w="90"/>
            </w:tcMar>
            <w:vAlign w:val="top"/>
          </w:tcPr>
          <w:p>
            <w:pPr>
              <w:spacing w:after="0" w:line="252"/>
            </w:pPr>
            <w:r>
              <w:rPr>
                <w:rFonts w:ascii="Calibri" w:cs="Calibri" w:eastAsia="Calibri" w:hAnsi="Calibri"/>
                <w:b w:val="false"/>
                <w:bCs w:val="false"/>
                <w:color w:val="0F1729"/>
                <w:sz w:val="19"/>
                <w:szCs w:val="19"/>
              </w:rPr>
              <w:t xml:space="preserve">CloudWatch, X-Ray, OpenTelemetry to Grafana; Zabbix for on-site gate hardware; PagerDuty-style alerting</w:t>
            </w:r>
          </w:p>
        </w:tc>
        <w:tc>
          <w:tcPr>
            <w:tcW w:type="dxa" w:w="4144"/>
            <w:tcBorders>
              <w:top w:val="single" w:color="DDE2E7" w:sz="4"/>
              <w:left w:val="single" w:color="DDE2E7" w:sz="4"/>
              <w:bottom w:val="single" w:color="DDE2E7" w:sz="4"/>
              <w:right w:val="single" w:color="DDE2E7" w:sz="4"/>
            </w:tcBorders>
            <w:tcMar>
              <w:top w:type="dxa" w:w="60"/>
              <w:left w:type="dxa" w:w="90"/>
              <w:bottom w:type="dxa" w:w="60"/>
              <w:right w:type="dxa" w:w="90"/>
            </w:tcMar>
            <w:vAlign w:val="top"/>
          </w:tcPr>
          <w:p>
            <w:pPr>
              <w:spacing w:after="0" w:line="252"/>
            </w:pPr>
            <w:r>
              <w:rPr>
                <w:rFonts w:ascii="Calibri" w:cs="Calibri" w:eastAsia="Calibri" w:hAnsi="Calibri"/>
                <w:b w:val="false"/>
                <w:bCs w:val="false"/>
                <w:color w:val="0F1729"/>
                <w:sz w:val="19"/>
                <w:szCs w:val="19"/>
              </w:rPr>
              <w:t xml:space="preserve">Fits the monitoring stack Gulftainer IT already operates.</w:t>
            </w:r>
          </w:p>
        </w:tc>
      </w:tr>
    </w:tbl>
    <w:p>
      <w:pPr>
        <w:keepNext/>
        <w:spacing w:after="40" w:before="60"/>
        <w:jc w:val="center"/>
      </w:pPr>
      <w:r>
        <w:drawing>
          <wp:inline distT="0" distB="0" distL="0" distR="0">
            <wp:extent cx="6124575" cy="3181350"/>
            <wp:effectExtent t="0" r="0" b="0" l="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124575" cy="3181350"/>
                    </a:xfrm>
                    <a:prstGeom prst="rect">
                      <a:avLst/>
                    </a:prstGeom>
                  </pic:spPr>
                </pic:pic>
              </a:graphicData>
            </a:graphic>
          </wp:inline>
        </w:drawing>
      </w:r>
    </w:p>
    <w:p>
      <w:pPr>
        <w:spacing w:after="140"/>
        <w:jc w:val="center"/>
      </w:pPr>
      <w:r>
        <w:rPr>
          <w:rFonts w:ascii="Calibri" w:cs="Calibri" w:eastAsia="Calibri" w:hAnsi="Calibri"/>
          <w:i/>
          <w:iCs/>
          <w:color w:val="8A93A3"/>
          <w:sz w:val="17"/>
          <w:szCs w:val="17"/>
        </w:rPr>
        <w:t xml:space="preserve">Figure 3. Production architecture: clients, edge, identity and application.</w:t>
      </w:r>
    </w:p>
    <w:p>
      <w:pPr>
        <w:keepNext/>
        <w:spacing w:after="40" w:before="60"/>
        <w:jc w:val="center"/>
      </w:pPr>
      <w:r>
        <w:drawing>
          <wp:inline distT="0" distB="0" distL="0" distR="0">
            <wp:extent cx="6124575" cy="2495550"/>
            <wp:effectExtent t="0" r="0" b="0" l="0"/>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124575" cy="2495550"/>
                    </a:xfrm>
                    <a:prstGeom prst="rect">
                      <a:avLst/>
                    </a:prstGeom>
                  </pic:spPr>
                </pic:pic>
              </a:graphicData>
            </a:graphic>
          </wp:inline>
        </w:drawing>
      </w:r>
    </w:p>
    <w:p>
      <w:pPr>
        <w:spacing w:after="140"/>
        <w:jc w:val="center"/>
      </w:pPr>
      <w:r>
        <w:rPr>
          <w:rFonts w:ascii="Calibri" w:cs="Calibri" w:eastAsia="Calibri" w:hAnsi="Calibri"/>
          <w:i/>
          <w:iCs/>
          <w:color w:val="8A93A3"/>
          <w:sz w:val="17"/>
          <w:szCs w:val="17"/>
        </w:rPr>
        <w:t xml:space="preserve">Figure 4. Production architecture: data, messaging, operations and continuity.</w:t>
      </w:r>
    </w:p>
    <w:p>
      <w:pPr>
        <w:pStyle w:val="Heading2"/>
        <w:keepNext/>
        <w:spacing w:after="80" w:before="220"/>
      </w:pPr>
      <w:bookmarkStart w:name="_Toc19" w:id="19"/>
      <w:r>
        <w:rPr>
          <w:rFonts w:ascii="Calibri" w:cs="Calibri" w:eastAsia="Calibri" w:hAnsi="Calibri"/>
          <w:b/>
          <w:bCs/>
          <w:color w:val="283F8F"/>
          <w:sz w:val="25"/>
          <w:szCs w:val="25"/>
        </w:rPr>
        <w:t xml:space="preserve">8.2 Data placement</w:t>
      </w:r>
      <w:bookmarkEnd w:id="19"/>
    </w:p>
    <w:p>
      <w:pPr>
        <w:keepNext/>
        <w:spacing w:after="40" w:before="60"/>
        <w:jc w:val="center"/>
      </w:pPr>
      <w:r>
        <w:drawing>
          <wp:inline distT="0" distB="0" distL="0" distR="0">
            <wp:extent cx="6124575" cy="2695575"/>
            <wp:effectExtent t="0" r="0" b="0" l="0"/>
            <wp:docPr id="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124575" cy="2695575"/>
                    </a:xfrm>
                    <a:prstGeom prst="rect">
                      <a:avLst/>
                    </a:prstGeom>
                  </pic:spPr>
                </pic:pic>
              </a:graphicData>
            </a:graphic>
          </wp:inline>
        </w:drawing>
      </w:r>
    </w:p>
    <w:p>
      <w:pPr>
        <w:spacing w:after="140"/>
        <w:jc w:val="center"/>
      </w:pPr>
      <w:r>
        <w:rPr>
          <w:rFonts w:ascii="Calibri" w:cs="Calibri" w:eastAsia="Calibri" w:hAnsi="Calibri"/>
          <w:i/>
          <w:iCs/>
          <w:color w:val="8A93A3"/>
          <w:sz w:val="17"/>
          <w:szCs w:val="17"/>
        </w:rPr>
        <w:t xml:space="preserve">Figure 5. Where each kind of data lives, and a gate-out request end to end.</w:t>
      </w:r>
    </w:p>
    <w:p>
      <w:pPr>
        <w:spacing w:after="100" w:before="0" w:line="264"/>
      </w:pPr>
      <w:r>
        <w:rPr>
          <w:rFonts w:ascii="Calibri" w:cs="Calibri" w:eastAsia="Calibri" w:hAnsi="Calibri"/>
          <w:color w:val="0F1729"/>
          <w:sz w:val="21"/>
          <w:szCs w:val="21"/>
        </w:rPr>
        <w:t xml:space="preserve">PostgreSQL holds everything that must be transactionally consistent: organisations, parties, vessel calls, containers, holds, the stock ledger and balances, orders, jobs, charges, invoices, payments, the audit log and the outbox. DynamoDB holds short-lived or very hot keys: idempotency records, e-token slot capacity per terminal and hour, gate device sessions and offline acknowledgements, throttle counters and the live yard index. S3 holds every document and the EDI archive. MongoDB holds the container event history (one document per container, appended on every event), notification feeds, the integration message log, reefer readings and report snapshots. Reporting reads from the Aurora read replica and from MongoDB snapshots, never from the primary.</w:t>
      </w:r>
    </w:p>
    <w:p>
      <w:pPr>
        <w:pStyle w:val="Heading2"/>
        <w:keepNext/>
        <w:spacing w:after="80" w:before="220"/>
      </w:pPr>
      <w:bookmarkStart w:name="_Toc20" w:id="20"/>
      <w:r>
        <w:rPr>
          <w:rFonts w:ascii="Calibri" w:cs="Calibri" w:eastAsia="Calibri" w:hAnsi="Calibri"/>
          <w:b/>
          <w:bCs/>
          <w:color w:val="283F8F"/>
          <w:sz w:val="25"/>
          <w:szCs w:val="25"/>
        </w:rPr>
        <w:t xml:space="preserve">8.3 API design</w:t>
      </w:r>
      <w:bookmarkEnd w:id="20"/>
    </w:p>
    <w:p>
      <w:pPr>
        <w:spacing w:after="100" w:before="0" w:line="264"/>
      </w:pPr>
      <w:r>
        <w:rPr>
          <w:rFonts w:ascii="Calibri" w:cs="Calibri" w:eastAsia="Calibri" w:hAnsi="Calibri"/>
          <w:color w:val="0F1729"/>
          <w:sz w:val="21"/>
          <w:szCs w:val="21"/>
        </w:rPr>
        <w:t xml:space="preserve">REST over HTTPS with JSON. Resources follow the modules: vessel calls, containers, tokens, gate transactions, transfers, transport jobs, SKUs, orders, movements, approvals, charges, invoices, documents, notifications, audit, integrations. Every mutating request carries an Idempotency-Key header and, for edits, the entity version; the API returns 409 on a stale version and 422 with the rule text when a business rule refuses the change. Webhooks for partners (lines, hauliers, SAP) are signed and retried. OpenAPI documents are generated from the TypeScript types so the prototype’s contracts carry over.</w:t>
      </w:r>
    </w:p>
    <w:p>
      <w:pPr>
        <w:pStyle w:val="Heading2"/>
        <w:keepNext/>
        <w:spacing w:after="80" w:before="220"/>
      </w:pPr>
      <w:bookmarkStart w:name="_Toc21" w:id="21"/>
      <w:r>
        <w:rPr>
          <w:rFonts w:ascii="Calibri" w:cs="Calibri" w:eastAsia="Calibri" w:hAnsi="Calibri"/>
          <w:b/>
          <w:bCs/>
          <w:color w:val="283F8F"/>
          <w:sz w:val="25"/>
          <w:szCs w:val="25"/>
        </w:rPr>
        <w:t xml:space="preserve">8.4 Capacity and performance</w:t>
      </w:r>
      <w:bookmarkEnd w:id="21"/>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55"/>
        <w:gridCol w:w="5783"/>
      </w:tblGrid>
      <w:tr>
        <w:trPr>
          <w:cantSplit/>
          <w:tblHeader/>
        </w:trPr>
        <w:tc>
          <w:tcPr>
            <w:tcW w:type="dxa" w:w="3855"/>
            <w:tcBorders>
              <w:top w:val="single" w:color="DDE2E7" w:sz="4"/>
              <w:left w:val="single" w:color="DDE2E7" w:sz="4"/>
              <w:bottom w:val="single" w:color="DDE2E7" w:sz="4"/>
              <w:right w:val="single" w:color="DDE2E7" w:sz="4"/>
            </w:tcBorders>
            <w:shd w:fill="F4F6F8" w:color="auto" w:val="clear"/>
            <w:tcMar>
              <w:top w:type="dxa" w:w="60"/>
              <w:left w:type="dxa" w:w="90"/>
              <w:bottom w:type="dxa" w:w="60"/>
              <w:right w:type="dxa" w:w="90"/>
            </w:tcMar>
            <w:vAlign w:val="top"/>
          </w:tcPr>
          <w:p>
            <w:pPr>
              <w:spacing w:after="0" w:line="252"/>
            </w:pPr>
            <w:r>
              <w:rPr>
                <w:rFonts w:ascii="Calibri" w:cs="Calibri" w:eastAsia="Calibri" w:hAnsi="Calibri"/>
                <w:b/>
                <w:bCs/>
                <w:color w:val="5B6576"/>
                <w:sz w:val="19"/>
                <w:szCs w:val="19"/>
              </w:rPr>
              <w:t xml:space="preserve">Assumption (SRS)</w:t>
            </w:r>
          </w:p>
        </w:tc>
        <w:tc>
          <w:tcPr>
            <w:tcW w:type="dxa" w:w="5783"/>
            <w:tcBorders>
              <w:top w:val="single" w:color="DDE2E7" w:sz="4"/>
              <w:left w:val="single" w:color="DDE2E7" w:sz="4"/>
              <w:bottom w:val="single" w:color="DDE2E7" w:sz="4"/>
              <w:right w:val="single" w:color="DDE2E7" w:sz="4"/>
            </w:tcBorders>
            <w:shd w:fill="F4F6F8" w:color="auto" w:val="clear"/>
            <w:tcMar>
              <w:top w:type="dxa" w:w="60"/>
              <w:left w:type="dxa" w:w="90"/>
              <w:bottom w:type="dxa" w:w="60"/>
              <w:right w:type="dxa" w:w="90"/>
            </w:tcMar>
            <w:vAlign w:val="top"/>
          </w:tcPr>
          <w:p>
            <w:pPr>
              <w:spacing w:after="0" w:line="252"/>
            </w:pPr>
            <w:r>
              <w:rPr>
                <w:rFonts w:ascii="Calibri" w:cs="Calibri" w:eastAsia="Calibri" w:hAnsi="Calibri"/>
                <w:b/>
                <w:bCs/>
                <w:color w:val="5B6576"/>
                <w:sz w:val="19"/>
                <w:szCs w:val="19"/>
              </w:rPr>
              <w:t xml:space="preserve">Design response</w:t>
            </w:r>
          </w:p>
        </w:tc>
      </w:tr>
      <w:tr>
        <w:trPr>
          <w:cantSplit/>
          <w:tblHeader w:val="off"/>
        </w:trPr>
        <w:tc>
          <w:tcPr>
            <w:tcW w:type="dxa" w:w="3855"/>
            <w:tcBorders>
              <w:top w:val="single" w:color="DDE2E7" w:sz="4"/>
              <w:left w:val="single" w:color="DDE2E7" w:sz="4"/>
              <w:bottom w:val="single" w:color="DDE2E7" w:sz="4"/>
              <w:right w:val="single" w:color="DDE2E7" w:sz="4"/>
            </w:tcBorders>
            <w:tcMar>
              <w:top w:type="dxa" w:w="60"/>
              <w:left w:type="dxa" w:w="90"/>
              <w:bottom w:type="dxa" w:w="60"/>
              <w:right w:type="dxa" w:w="90"/>
            </w:tcMar>
            <w:vAlign w:val="top"/>
          </w:tcPr>
          <w:p>
            <w:pPr>
              <w:spacing w:after="0" w:line="252"/>
            </w:pPr>
            <w:r>
              <w:rPr>
                <w:rFonts w:ascii="Calibri" w:cs="Calibri" w:eastAsia="Calibri" w:hAnsi="Calibri"/>
                <w:b w:val="false"/>
                <w:bCs w:val="false"/>
                <w:color w:val="0F1729"/>
                <w:sz w:val="19"/>
                <w:szCs w:val="19"/>
              </w:rPr>
              <w:t xml:space="preserve">5,000 registered users, 500 concurrent at peak, 100 concurrent warehouse operations, about 720 requests per second</w:t>
            </w:r>
          </w:p>
        </w:tc>
        <w:tc>
          <w:tcPr>
            <w:tcW w:type="dxa" w:w="5783"/>
            <w:tcBorders>
              <w:top w:val="single" w:color="DDE2E7" w:sz="4"/>
              <w:left w:val="single" w:color="DDE2E7" w:sz="4"/>
              <w:bottom w:val="single" w:color="DDE2E7" w:sz="4"/>
              <w:right w:val="single" w:color="DDE2E7" w:sz="4"/>
            </w:tcBorders>
            <w:tcMar>
              <w:top w:type="dxa" w:w="60"/>
              <w:left w:type="dxa" w:w="90"/>
              <w:bottom w:type="dxa" w:w="60"/>
              <w:right w:type="dxa" w:w="90"/>
            </w:tcMar>
            <w:vAlign w:val="top"/>
          </w:tcPr>
          <w:p>
            <w:pPr>
              <w:spacing w:after="0" w:line="252"/>
            </w:pPr>
            <w:r>
              <w:rPr>
                <w:rFonts w:ascii="Calibri" w:cs="Calibri" w:eastAsia="Calibri" w:hAnsi="Calibri"/>
                <w:b w:val="false"/>
                <w:bCs w:val="false"/>
                <w:color w:val="0F1729"/>
                <w:sz w:val="19"/>
                <w:szCs w:val="19"/>
              </w:rPr>
              <w:t xml:space="preserve">API Gateway and Lambda scale horizontally; Aurora Serverless v2 scales compute; DynamoDB on-demand absorbs gate bursts; CloudFront serves the static shell. Targets: p95 under 300 ms for reads, under 800 ms for transactional writes, error rate under 0.1 percent, outbox age under 30 seconds.</w:t>
            </w:r>
          </w:p>
        </w:tc>
      </w:tr>
      <w:tr>
        <w:trPr>
          <w:cantSplit/>
          <w:tblHeader w:val="off"/>
        </w:trPr>
        <w:tc>
          <w:tcPr>
            <w:tcW w:type="dxa" w:w="3855"/>
            <w:tcBorders>
              <w:top w:val="single" w:color="DDE2E7" w:sz="4"/>
              <w:left w:val="single" w:color="DDE2E7" w:sz="4"/>
              <w:bottom w:val="single" w:color="DDE2E7" w:sz="4"/>
              <w:right w:val="single" w:color="DDE2E7" w:sz="4"/>
            </w:tcBorders>
            <w:tcMar>
              <w:top w:type="dxa" w:w="60"/>
              <w:left w:type="dxa" w:w="90"/>
              <w:bottom w:type="dxa" w:w="60"/>
              <w:right w:type="dxa" w:w="90"/>
            </w:tcMar>
            <w:vAlign w:val="top"/>
          </w:tcPr>
          <w:p>
            <w:pPr>
              <w:spacing w:after="0" w:line="252"/>
            </w:pPr>
            <w:r>
              <w:rPr>
                <w:rFonts w:ascii="Calibri" w:cs="Calibri" w:eastAsia="Calibri" w:hAnsi="Calibri"/>
                <w:b w:val="false"/>
                <w:bCs w:val="false"/>
                <w:color w:val="0F1729"/>
                <w:sz w:val="19"/>
                <w:szCs w:val="19"/>
              </w:rPr>
              <w:t xml:space="preserve">24/7 operation, 99.95 percent availability</w:t>
            </w:r>
          </w:p>
        </w:tc>
        <w:tc>
          <w:tcPr>
            <w:tcW w:type="dxa" w:w="5783"/>
            <w:tcBorders>
              <w:top w:val="single" w:color="DDE2E7" w:sz="4"/>
              <w:left w:val="single" w:color="DDE2E7" w:sz="4"/>
              <w:bottom w:val="single" w:color="DDE2E7" w:sz="4"/>
              <w:right w:val="single" w:color="DDE2E7" w:sz="4"/>
            </w:tcBorders>
            <w:tcMar>
              <w:top w:type="dxa" w:w="60"/>
              <w:left w:type="dxa" w:w="90"/>
              <w:bottom w:type="dxa" w:w="60"/>
              <w:right w:type="dxa" w:w="90"/>
            </w:tcMar>
            <w:vAlign w:val="top"/>
          </w:tcPr>
          <w:p>
            <w:pPr>
              <w:spacing w:after="0" w:line="252"/>
            </w:pPr>
            <w:r>
              <w:rPr>
                <w:rFonts w:ascii="Calibri" w:cs="Calibri" w:eastAsia="Calibri" w:hAnsi="Calibri"/>
                <w:b w:val="false"/>
                <w:bCs w:val="false"/>
                <w:color w:val="0F1729"/>
                <w:sz w:val="19"/>
                <w:szCs w:val="19"/>
              </w:rPr>
              <w:t xml:space="preserve">Multi-AZ for every stateful service, no single-instance components, blue-green deployments, health checks and automatic rollback.</w:t>
            </w:r>
          </w:p>
        </w:tc>
      </w:tr>
      <w:tr>
        <w:trPr>
          <w:cantSplit/>
          <w:tblHeader w:val="off"/>
        </w:trPr>
        <w:tc>
          <w:tcPr>
            <w:tcW w:type="dxa" w:w="3855"/>
            <w:tcBorders>
              <w:top w:val="single" w:color="DDE2E7" w:sz="4"/>
              <w:left w:val="single" w:color="DDE2E7" w:sz="4"/>
              <w:bottom w:val="single" w:color="DDE2E7" w:sz="4"/>
              <w:right w:val="single" w:color="DDE2E7" w:sz="4"/>
            </w:tcBorders>
            <w:tcMar>
              <w:top w:type="dxa" w:w="60"/>
              <w:left w:type="dxa" w:w="90"/>
              <w:bottom w:type="dxa" w:w="60"/>
              <w:right w:type="dxa" w:w="90"/>
            </w:tcMar>
            <w:vAlign w:val="top"/>
          </w:tcPr>
          <w:p>
            <w:pPr>
              <w:spacing w:after="0" w:line="252"/>
            </w:pPr>
            <w:r>
              <w:rPr>
                <w:rFonts w:ascii="Calibri" w:cs="Calibri" w:eastAsia="Calibri" w:hAnsi="Calibri"/>
                <w:b w:val="false"/>
                <w:bCs w:val="false"/>
                <w:color w:val="0F1729"/>
                <w:sz w:val="19"/>
                <w:szCs w:val="19"/>
              </w:rPr>
              <w:t xml:space="preserve">Growth to a geographically distributed enterprise platform</w:t>
            </w:r>
          </w:p>
        </w:tc>
        <w:tc>
          <w:tcPr>
            <w:tcW w:type="dxa" w:w="5783"/>
            <w:tcBorders>
              <w:top w:val="single" w:color="DDE2E7" w:sz="4"/>
              <w:left w:val="single" w:color="DDE2E7" w:sz="4"/>
              <w:bottom w:val="single" w:color="DDE2E7" w:sz="4"/>
              <w:right w:val="single" w:color="DDE2E7" w:sz="4"/>
            </w:tcBorders>
            <w:tcMar>
              <w:top w:type="dxa" w:w="60"/>
              <w:left w:type="dxa" w:w="90"/>
              <w:bottom w:type="dxa" w:w="60"/>
              <w:right w:type="dxa" w:w="90"/>
            </w:tcMar>
            <w:vAlign w:val="top"/>
          </w:tcPr>
          <w:p>
            <w:pPr>
              <w:spacing w:after="0" w:line="252"/>
            </w:pPr>
            <w:r>
              <w:rPr>
                <w:rFonts w:ascii="Calibri" w:cs="Calibri" w:eastAsia="Calibri" w:hAnsi="Calibri"/>
                <w:b w:val="false"/>
                <w:bCs w:val="false"/>
                <w:color w:val="0F1729"/>
                <w:sz w:val="19"/>
                <w:szCs w:val="19"/>
              </w:rPr>
              <w:t xml:space="preserve">One AWS region (me-central-1) with a cross-region replica for disaster recovery; per-country data views by location scope; the same stack can be stamped out per region if data residency requires it.</w:t>
            </w:r>
          </w:p>
        </w:tc>
      </w:tr>
    </w:tbl>
    <w:p>
      <w:pPr>
        <w:pStyle w:val="Heading1"/>
        <w:keepNext/>
        <w:spacing w:after="120" w:before="280"/>
      </w:pPr>
      <w:bookmarkStart w:name="_Toc22" w:id="22"/>
      <w:r>
        <w:rPr>
          <w:rFonts w:ascii="Calibri" w:cs="Calibri" w:eastAsia="Calibri" w:hAnsi="Calibri"/>
          <w:b/>
          <w:bCs/>
          <w:color w:val="0F1729"/>
          <w:sz w:val="32"/>
          <w:szCs w:val="32"/>
        </w:rPr>
        <w:t xml:space="preserve">9. Security, compliance and continuity</w:t>
      </w:r>
      <w:bookmarkEnd w:id="22"/>
    </w:p>
    <w:p>
      <w:pPr>
        <w:spacing w:after="100" w:before="0" w:line="264"/>
      </w:pPr>
      <w:r>
        <w:rPr>
          <w:rFonts w:ascii="Calibri" w:cs="Calibri" w:eastAsia="Calibri" w:hAnsi="Calibri"/>
          <w:color w:val="0F1729"/>
          <w:sz w:val="21"/>
          <w:szCs w:val="21"/>
        </w:rPr>
        <w:t xml:space="preserve">This section is written for Gulftainer’s IT infrastructure team and maps to the controls they already run.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3"/>
        <w:gridCol w:w="7325"/>
      </w:tblGrid>
      <w:tr>
        <w:trPr>
          <w:cantSplit/>
          <w:tblHeader/>
        </w:trPr>
        <w:tc>
          <w:tcPr>
            <w:tcW w:type="dxa" w:w="2313"/>
            <w:tcBorders>
              <w:top w:val="single" w:color="DDE2E7" w:sz="4"/>
              <w:left w:val="single" w:color="DDE2E7" w:sz="4"/>
              <w:bottom w:val="single" w:color="DDE2E7" w:sz="4"/>
              <w:right w:val="single" w:color="DDE2E7" w:sz="4"/>
            </w:tcBorders>
            <w:shd w:fill="F4F6F8" w:color="auto" w:val="clear"/>
            <w:tcMar>
              <w:top w:type="dxa" w:w="60"/>
              <w:left w:type="dxa" w:w="90"/>
              <w:bottom w:type="dxa" w:w="60"/>
              <w:right w:type="dxa" w:w="90"/>
            </w:tcMar>
            <w:vAlign w:val="top"/>
          </w:tcPr>
          <w:p>
            <w:pPr>
              <w:spacing w:after="0" w:line="252"/>
            </w:pPr>
            <w:r>
              <w:rPr>
                <w:rFonts w:ascii="Calibri" w:cs="Calibri" w:eastAsia="Calibri" w:hAnsi="Calibri"/>
                <w:b/>
                <w:bCs/>
                <w:color w:val="5B6576"/>
                <w:sz w:val="19"/>
                <w:szCs w:val="19"/>
              </w:rPr>
              <w:t xml:space="preserve">Control area</w:t>
            </w:r>
          </w:p>
        </w:tc>
        <w:tc>
          <w:tcPr>
            <w:tcW w:type="dxa" w:w="7325"/>
            <w:tcBorders>
              <w:top w:val="single" w:color="DDE2E7" w:sz="4"/>
              <w:left w:val="single" w:color="DDE2E7" w:sz="4"/>
              <w:bottom w:val="single" w:color="DDE2E7" w:sz="4"/>
              <w:right w:val="single" w:color="DDE2E7" w:sz="4"/>
            </w:tcBorders>
            <w:shd w:fill="F4F6F8" w:color="auto" w:val="clear"/>
            <w:tcMar>
              <w:top w:type="dxa" w:w="60"/>
              <w:left w:type="dxa" w:w="90"/>
              <w:bottom w:type="dxa" w:w="60"/>
              <w:right w:type="dxa" w:w="90"/>
            </w:tcMar>
            <w:vAlign w:val="top"/>
          </w:tcPr>
          <w:p>
            <w:pPr>
              <w:spacing w:after="0" w:line="252"/>
            </w:pPr>
            <w:r>
              <w:rPr>
                <w:rFonts w:ascii="Calibri" w:cs="Calibri" w:eastAsia="Calibri" w:hAnsi="Calibri"/>
                <w:b/>
                <w:bCs/>
                <w:color w:val="5B6576"/>
                <w:sz w:val="19"/>
                <w:szCs w:val="19"/>
              </w:rPr>
              <w:t xml:space="preserve">Design</w:t>
            </w:r>
          </w:p>
        </w:tc>
      </w:tr>
      <w:tr>
        <w:trPr>
          <w:cantSplit/>
          <w:tblHeader w:val="off"/>
        </w:trPr>
        <w:tc>
          <w:tcPr>
            <w:tcW w:type="dxa" w:w="2313"/>
            <w:tcBorders>
              <w:top w:val="single" w:color="DDE2E7" w:sz="4"/>
              <w:left w:val="single" w:color="DDE2E7" w:sz="4"/>
              <w:bottom w:val="single" w:color="DDE2E7" w:sz="4"/>
              <w:right w:val="single" w:color="DDE2E7" w:sz="4"/>
            </w:tcBorders>
            <w:tcMar>
              <w:top w:type="dxa" w:w="60"/>
              <w:left w:type="dxa" w:w="90"/>
              <w:bottom w:type="dxa" w:w="60"/>
              <w:right w:type="dxa" w:w="90"/>
            </w:tcMar>
            <w:vAlign w:val="top"/>
          </w:tcPr>
          <w:p>
            <w:pPr>
              <w:spacing w:after="0" w:line="252"/>
            </w:pPr>
            <w:r>
              <w:rPr>
                <w:rFonts w:ascii="Calibri" w:cs="Calibri" w:eastAsia="Calibri" w:hAnsi="Calibri"/>
                <w:b w:val="false"/>
                <w:bCs w:val="false"/>
                <w:color w:val="0F1729"/>
                <w:sz w:val="19"/>
                <w:szCs w:val="19"/>
              </w:rPr>
              <w:t xml:space="preserve">Identity and access</w:t>
            </w:r>
          </w:p>
        </w:tc>
        <w:tc>
          <w:tcPr>
            <w:tcW w:type="dxa" w:w="7325"/>
            <w:tcBorders>
              <w:top w:val="single" w:color="DDE2E7" w:sz="4"/>
              <w:left w:val="single" w:color="DDE2E7" w:sz="4"/>
              <w:bottom w:val="single" w:color="DDE2E7" w:sz="4"/>
              <w:right w:val="single" w:color="DDE2E7" w:sz="4"/>
            </w:tcBorders>
            <w:tcMar>
              <w:top w:type="dxa" w:w="60"/>
              <w:left w:type="dxa" w:w="90"/>
              <w:bottom w:type="dxa" w:w="60"/>
              <w:right w:type="dxa" w:w="90"/>
            </w:tcMar>
            <w:vAlign w:val="top"/>
          </w:tcPr>
          <w:p>
            <w:pPr>
              <w:spacing w:after="0" w:line="252"/>
            </w:pPr>
            <w:r>
              <w:rPr>
                <w:rFonts w:ascii="Calibri" w:cs="Calibri" w:eastAsia="Calibri" w:hAnsi="Calibri"/>
                <w:b w:val="false"/>
                <w:bCs w:val="false"/>
                <w:color w:val="0F1729"/>
                <w:sz w:val="19"/>
                <w:szCs w:val="19"/>
              </w:rPr>
              <w:t xml:space="preserve">Single sign-on through Entra ID with MFA and Conditional Access; role-based access with location scope on every request; privileged roles (system administrator, finance manager) behind just-in-time group membership and PAM; customer portal accounts in Cognito with email verification; service accounts replaced by IAM roles.</w:t>
            </w:r>
          </w:p>
        </w:tc>
      </w:tr>
      <w:tr>
        <w:trPr>
          <w:cantSplit/>
          <w:tblHeader w:val="off"/>
        </w:trPr>
        <w:tc>
          <w:tcPr>
            <w:tcW w:type="dxa" w:w="2313"/>
            <w:tcBorders>
              <w:top w:val="single" w:color="DDE2E7" w:sz="4"/>
              <w:left w:val="single" w:color="DDE2E7" w:sz="4"/>
              <w:bottom w:val="single" w:color="DDE2E7" w:sz="4"/>
              <w:right w:val="single" w:color="DDE2E7" w:sz="4"/>
            </w:tcBorders>
            <w:tcMar>
              <w:top w:type="dxa" w:w="60"/>
              <w:left w:type="dxa" w:w="90"/>
              <w:bottom w:type="dxa" w:w="60"/>
              <w:right w:type="dxa" w:w="90"/>
            </w:tcMar>
            <w:vAlign w:val="top"/>
          </w:tcPr>
          <w:p>
            <w:pPr>
              <w:spacing w:after="0" w:line="252"/>
            </w:pPr>
            <w:r>
              <w:rPr>
                <w:rFonts w:ascii="Calibri" w:cs="Calibri" w:eastAsia="Calibri" w:hAnsi="Calibri"/>
                <w:b w:val="false"/>
                <w:bCs w:val="false"/>
                <w:color w:val="0F1729"/>
                <w:sz w:val="19"/>
                <w:szCs w:val="19"/>
              </w:rPr>
              <w:t xml:space="preserve">Network and endpoints</w:t>
            </w:r>
          </w:p>
        </w:tc>
        <w:tc>
          <w:tcPr>
            <w:tcW w:type="dxa" w:w="7325"/>
            <w:tcBorders>
              <w:top w:val="single" w:color="DDE2E7" w:sz="4"/>
              <w:left w:val="single" w:color="DDE2E7" w:sz="4"/>
              <w:bottom w:val="single" w:color="DDE2E7" w:sz="4"/>
              <w:right w:val="single" w:color="DDE2E7" w:sz="4"/>
            </w:tcBorders>
            <w:tcMar>
              <w:top w:type="dxa" w:w="60"/>
              <w:left w:type="dxa" w:w="90"/>
              <w:bottom w:type="dxa" w:w="60"/>
              <w:right w:type="dxa" w:w="90"/>
            </w:tcMar>
            <w:vAlign w:val="top"/>
          </w:tcPr>
          <w:p>
            <w:pPr>
              <w:spacing w:after="0" w:line="252"/>
            </w:pPr>
            <w:r>
              <w:rPr>
                <w:rFonts w:ascii="Calibri" w:cs="Calibri" w:eastAsia="Calibri" w:hAnsi="Calibri"/>
                <w:b w:val="false"/>
                <w:bCs w:val="false"/>
                <w:color w:val="0F1729"/>
                <w:sz w:val="19"/>
                <w:szCs w:val="19"/>
              </w:rPr>
              <w:t xml:space="preserve">Gate and yard tablets enrolled in Intune with compliance policies; network access through Aruba ClearPass 802.1x on terminal LANs; the application reachable only over HTTPS through CloudFront and WAF; private subnets for databases; no public database endpoints.</w:t>
            </w:r>
          </w:p>
        </w:tc>
      </w:tr>
      <w:tr>
        <w:trPr>
          <w:cantSplit/>
          <w:tblHeader w:val="off"/>
        </w:trPr>
        <w:tc>
          <w:tcPr>
            <w:tcW w:type="dxa" w:w="2313"/>
            <w:tcBorders>
              <w:top w:val="single" w:color="DDE2E7" w:sz="4"/>
              <w:left w:val="single" w:color="DDE2E7" w:sz="4"/>
              <w:bottom w:val="single" w:color="DDE2E7" w:sz="4"/>
              <w:right w:val="single" w:color="DDE2E7" w:sz="4"/>
            </w:tcBorders>
            <w:tcMar>
              <w:top w:type="dxa" w:w="60"/>
              <w:left w:type="dxa" w:w="90"/>
              <w:bottom w:type="dxa" w:w="60"/>
              <w:right w:type="dxa" w:w="90"/>
            </w:tcMar>
            <w:vAlign w:val="top"/>
          </w:tcPr>
          <w:p>
            <w:pPr>
              <w:spacing w:after="0" w:line="252"/>
            </w:pPr>
            <w:r>
              <w:rPr>
                <w:rFonts w:ascii="Calibri" w:cs="Calibri" w:eastAsia="Calibri" w:hAnsi="Calibri"/>
                <w:b w:val="false"/>
                <w:bCs w:val="false"/>
                <w:color w:val="0F1729"/>
                <w:sz w:val="19"/>
                <w:szCs w:val="19"/>
              </w:rPr>
              <w:t xml:space="preserve">Data protection</w:t>
            </w:r>
          </w:p>
        </w:tc>
        <w:tc>
          <w:tcPr>
            <w:tcW w:type="dxa" w:w="7325"/>
            <w:tcBorders>
              <w:top w:val="single" w:color="DDE2E7" w:sz="4"/>
              <w:left w:val="single" w:color="DDE2E7" w:sz="4"/>
              <w:bottom w:val="single" w:color="DDE2E7" w:sz="4"/>
              <w:right w:val="single" w:color="DDE2E7" w:sz="4"/>
            </w:tcBorders>
            <w:tcMar>
              <w:top w:type="dxa" w:w="60"/>
              <w:left w:type="dxa" w:w="90"/>
              <w:bottom w:type="dxa" w:w="60"/>
              <w:right w:type="dxa" w:w="90"/>
            </w:tcMar>
            <w:vAlign w:val="top"/>
          </w:tcPr>
          <w:p>
            <w:pPr>
              <w:spacing w:after="0" w:line="252"/>
            </w:pPr>
            <w:r>
              <w:rPr>
                <w:rFonts w:ascii="Calibri" w:cs="Calibri" w:eastAsia="Calibri" w:hAnsi="Calibri"/>
                <w:b w:val="false"/>
                <w:bCs w:val="false"/>
                <w:color w:val="0F1729"/>
                <w:sz w:val="19"/>
                <w:szCs w:val="19"/>
              </w:rPr>
              <w:t xml:space="preserve">TLS 1.2 or later in transit; KMS customer-managed keys at rest for Aurora, DynamoDB, S3 and backups; field-level masking of card references; secrets in Secrets Manager with rotation; S3 Object Lock for legally significant documents.</w:t>
            </w:r>
          </w:p>
        </w:tc>
      </w:tr>
      <w:tr>
        <w:trPr>
          <w:cantSplit/>
          <w:tblHeader w:val="off"/>
        </w:trPr>
        <w:tc>
          <w:tcPr>
            <w:tcW w:type="dxa" w:w="2313"/>
            <w:tcBorders>
              <w:top w:val="single" w:color="DDE2E7" w:sz="4"/>
              <w:left w:val="single" w:color="DDE2E7" w:sz="4"/>
              <w:bottom w:val="single" w:color="DDE2E7" w:sz="4"/>
              <w:right w:val="single" w:color="DDE2E7" w:sz="4"/>
            </w:tcBorders>
            <w:tcMar>
              <w:top w:type="dxa" w:w="60"/>
              <w:left w:type="dxa" w:w="90"/>
              <w:bottom w:type="dxa" w:w="60"/>
              <w:right w:type="dxa" w:w="90"/>
            </w:tcMar>
            <w:vAlign w:val="top"/>
          </w:tcPr>
          <w:p>
            <w:pPr>
              <w:spacing w:after="0" w:line="252"/>
            </w:pPr>
            <w:r>
              <w:rPr>
                <w:rFonts w:ascii="Calibri" w:cs="Calibri" w:eastAsia="Calibri" w:hAnsi="Calibri"/>
                <w:b w:val="false"/>
                <w:bCs w:val="false"/>
                <w:color w:val="0F1729"/>
                <w:sz w:val="19"/>
                <w:szCs w:val="19"/>
              </w:rPr>
              <w:t xml:space="preserve">Application security</w:t>
            </w:r>
          </w:p>
        </w:tc>
        <w:tc>
          <w:tcPr>
            <w:tcW w:type="dxa" w:w="7325"/>
            <w:tcBorders>
              <w:top w:val="single" w:color="DDE2E7" w:sz="4"/>
              <w:left w:val="single" w:color="DDE2E7" w:sz="4"/>
              <w:bottom w:val="single" w:color="DDE2E7" w:sz="4"/>
              <w:right w:val="single" w:color="DDE2E7" w:sz="4"/>
            </w:tcBorders>
            <w:tcMar>
              <w:top w:type="dxa" w:w="60"/>
              <w:left w:type="dxa" w:w="90"/>
              <w:bottom w:type="dxa" w:w="60"/>
              <w:right w:type="dxa" w:w="90"/>
            </w:tcMar>
            <w:vAlign w:val="top"/>
          </w:tcPr>
          <w:p>
            <w:pPr>
              <w:spacing w:after="0" w:line="252"/>
            </w:pPr>
            <w:r>
              <w:rPr>
                <w:rFonts w:ascii="Calibri" w:cs="Calibri" w:eastAsia="Calibri" w:hAnsi="Calibri"/>
                <w:b w:val="false"/>
                <w:bCs w:val="false"/>
                <w:color w:val="0F1729"/>
                <w:sz w:val="19"/>
                <w:szCs w:val="19"/>
              </w:rPr>
              <w:t xml:space="preserve">OWASP managed rules in WAF; input validation in the service layer; idempotency and version checks against replay and lost updates; dependency scanning and secret scanning in GitHub; penetration test before go-live.</w:t>
            </w:r>
          </w:p>
        </w:tc>
      </w:tr>
      <w:tr>
        <w:trPr>
          <w:cantSplit/>
          <w:tblHeader w:val="off"/>
        </w:trPr>
        <w:tc>
          <w:tcPr>
            <w:tcW w:type="dxa" w:w="2313"/>
            <w:tcBorders>
              <w:top w:val="single" w:color="DDE2E7" w:sz="4"/>
              <w:left w:val="single" w:color="DDE2E7" w:sz="4"/>
              <w:bottom w:val="single" w:color="DDE2E7" w:sz="4"/>
              <w:right w:val="single" w:color="DDE2E7" w:sz="4"/>
            </w:tcBorders>
            <w:tcMar>
              <w:top w:type="dxa" w:w="60"/>
              <w:left w:type="dxa" w:w="90"/>
              <w:bottom w:type="dxa" w:w="60"/>
              <w:right w:type="dxa" w:w="90"/>
            </w:tcMar>
            <w:vAlign w:val="top"/>
          </w:tcPr>
          <w:p>
            <w:pPr>
              <w:spacing w:after="0" w:line="252"/>
            </w:pPr>
            <w:r>
              <w:rPr>
                <w:rFonts w:ascii="Calibri" w:cs="Calibri" w:eastAsia="Calibri" w:hAnsi="Calibri"/>
                <w:b w:val="false"/>
                <w:bCs w:val="false"/>
                <w:color w:val="0F1729"/>
                <w:sz w:val="19"/>
                <w:szCs w:val="19"/>
              </w:rPr>
              <w:t xml:space="preserve">Audit and separation of duties</w:t>
            </w:r>
          </w:p>
        </w:tc>
        <w:tc>
          <w:tcPr>
            <w:tcW w:type="dxa" w:w="7325"/>
            <w:tcBorders>
              <w:top w:val="single" w:color="DDE2E7" w:sz="4"/>
              <w:left w:val="single" w:color="DDE2E7" w:sz="4"/>
              <w:bottom w:val="single" w:color="DDE2E7" w:sz="4"/>
              <w:right w:val="single" w:color="DDE2E7" w:sz="4"/>
            </w:tcBorders>
            <w:tcMar>
              <w:top w:type="dxa" w:w="60"/>
              <w:left w:type="dxa" w:w="90"/>
              <w:bottom w:type="dxa" w:w="60"/>
              <w:right w:type="dxa" w:w="90"/>
            </w:tcMar>
            <w:vAlign w:val="top"/>
          </w:tcPr>
          <w:p>
            <w:pPr>
              <w:spacing w:after="0" w:line="252"/>
            </w:pPr>
            <w:r>
              <w:rPr>
                <w:rFonts w:ascii="Calibri" w:cs="Calibri" w:eastAsia="Calibri" w:hAnsi="Calibri"/>
                <w:b w:val="false"/>
                <w:bCs w:val="false"/>
                <w:color w:val="0F1729"/>
                <w:sz w:val="19"/>
                <w:szCs w:val="19"/>
              </w:rPr>
              <w:t xml:space="preserve">Append-only, hash-chained audit log; approvals require a second person; tariff and user changes audited; auditors read-only; audit copies to immutable storage nightly.</w:t>
            </w:r>
          </w:p>
        </w:tc>
      </w:tr>
      <w:tr>
        <w:trPr>
          <w:cantSplit/>
          <w:tblHeader w:val="off"/>
        </w:trPr>
        <w:tc>
          <w:tcPr>
            <w:tcW w:type="dxa" w:w="2313"/>
            <w:tcBorders>
              <w:top w:val="single" w:color="DDE2E7" w:sz="4"/>
              <w:left w:val="single" w:color="DDE2E7" w:sz="4"/>
              <w:bottom w:val="single" w:color="DDE2E7" w:sz="4"/>
              <w:right w:val="single" w:color="DDE2E7" w:sz="4"/>
            </w:tcBorders>
            <w:tcMar>
              <w:top w:type="dxa" w:w="60"/>
              <w:left w:type="dxa" w:w="90"/>
              <w:bottom w:type="dxa" w:w="60"/>
              <w:right w:type="dxa" w:w="90"/>
            </w:tcMar>
            <w:vAlign w:val="top"/>
          </w:tcPr>
          <w:p>
            <w:pPr>
              <w:spacing w:after="0" w:line="252"/>
            </w:pPr>
            <w:r>
              <w:rPr>
                <w:rFonts w:ascii="Calibri" w:cs="Calibri" w:eastAsia="Calibri" w:hAnsi="Calibri"/>
                <w:b w:val="false"/>
                <w:bCs w:val="false"/>
                <w:color w:val="0F1729"/>
                <w:sz w:val="19"/>
                <w:szCs w:val="19"/>
              </w:rPr>
              <w:t xml:space="preserve">Monitoring and response</w:t>
            </w:r>
          </w:p>
        </w:tc>
        <w:tc>
          <w:tcPr>
            <w:tcW w:type="dxa" w:w="7325"/>
            <w:tcBorders>
              <w:top w:val="single" w:color="DDE2E7" w:sz="4"/>
              <w:left w:val="single" w:color="DDE2E7" w:sz="4"/>
              <w:bottom w:val="single" w:color="DDE2E7" w:sz="4"/>
              <w:right w:val="single" w:color="DDE2E7" w:sz="4"/>
            </w:tcBorders>
            <w:tcMar>
              <w:top w:type="dxa" w:w="60"/>
              <w:left w:type="dxa" w:w="90"/>
              <w:bottom w:type="dxa" w:w="60"/>
              <w:right w:type="dxa" w:w="90"/>
            </w:tcMar>
            <w:vAlign w:val="top"/>
          </w:tcPr>
          <w:p>
            <w:pPr>
              <w:spacing w:after="0" w:line="252"/>
            </w:pPr>
            <w:r>
              <w:rPr>
                <w:rFonts w:ascii="Calibri" w:cs="Calibri" w:eastAsia="Calibri" w:hAnsi="Calibri"/>
                <w:b w:val="false"/>
                <w:bCs w:val="false"/>
                <w:color w:val="0F1729"/>
                <w:sz w:val="19"/>
                <w:szCs w:val="19"/>
              </w:rPr>
              <w:t xml:space="preserve">CloudWatch and X-Ray with OpenTelemetry export to Grafana; Zabbix for on-site hardware; alerts on error rate, latency, outbox age, dead-letter depth, replication lag and backup health; integration with the 24/7 SIEM and MDR service.</w:t>
            </w:r>
          </w:p>
        </w:tc>
      </w:tr>
      <w:tr>
        <w:trPr>
          <w:cantSplit/>
          <w:tblHeader w:val="off"/>
        </w:trPr>
        <w:tc>
          <w:tcPr>
            <w:tcW w:type="dxa" w:w="2313"/>
            <w:tcBorders>
              <w:top w:val="single" w:color="DDE2E7" w:sz="4"/>
              <w:left w:val="single" w:color="DDE2E7" w:sz="4"/>
              <w:bottom w:val="single" w:color="DDE2E7" w:sz="4"/>
              <w:right w:val="single" w:color="DDE2E7" w:sz="4"/>
            </w:tcBorders>
            <w:tcMar>
              <w:top w:type="dxa" w:w="60"/>
              <w:left w:type="dxa" w:w="90"/>
              <w:bottom w:type="dxa" w:w="60"/>
              <w:right w:type="dxa" w:w="90"/>
            </w:tcMar>
            <w:vAlign w:val="top"/>
          </w:tcPr>
          <w:p>
            <w:pPr>
              <w:spacing w:after="0" w:line="252"/>
            </w:pPr>
            <w:r>
              <w:rPr>
                <w:rFonts w:ascii="Calibri" w:cs="Calibri" w:eastAsia="Calibri" w:hAnsi="Calibri"/>
                <w:b w:val="false"/>
                <w:bCs w:val="false"/>
                <w:color w:val="0F1729"/>
                <w:sz w:val="19"/>
                <w:szCs w:val="19"/>
              </w:rPr>
              <w:t xml:space="preserve">Backup and disaster recovery</w:t>
            </w:r>
          </w:p>
        </w:tc>
        <w:tc>
          <w:tcPr>
            <w:tcW w:type="dxa" w:w="7325"/>
            <w:tcBorders>
              <w:top w:val="single" w:color="DDE2E7" w:sz="4"/>
              <w:left w:val="single" w:color="DDE2E7" w:sz="4"/>
              <w:bottom w:val="single" w:color="DDE2E7" w:sz="4"/>
              <w:right w:val="single" w:color="DDE2E7" w:sz="4"/>
            </w:tcBorders>
            <w:tcMar>
              <w:top w:type="dxa" w:w="60"/>
              <w:left w:type="dxa" w:w="90"/>
              <w:bottom w:type="dxa" w:w="60"/>
              <w:right w:type="dxa" w:w="90"/>
            </w:tcMar>
            <w:vAlign w:val="top"/>
          </w:tcPr>
          <w:p>
            <w:pPr>
              <w:spacing w:after="0" w:line="252"/>
            </w:pPr>
            <w:r>
              <w:rPr>
                <w:rFonts w:ascii="Calibri" w:cs="Calibri" w:eastAsia="Calibri" w:hAnsi="Calibri"/>
                <w:b w:val="false"/>
                <w:bCs w:val="false"/>
                <w:color w:val="0F1729"/>
                <w:sz w:val="19"/>
                <w:szCs w:val="19"/>
              </w:rPr>
              <w:t xml:space="preserve">Aurora automated backups with point-in-time recovery and a cross-region replica; DynamoDB point-in-time recovery; S3 cross-region replication; MongoDB Atlas continuous backup. Targets RTO 60 minutes and RPO 5 minutes, validated by quarterly restore and failover drills in the manner of the existing Veeam programme.</w:t>
            </w:r>
          </w:p>
        </w:tc>
      </w:tr>
      <w:tr>
        <w:trPr>
          <w:cantSplit/>
          <w:tblHeader w:val="off"/>
        </w:trPr>
        <w:tc>
          <w:tcPr>
            <w:tcW w:type="dxa" w:w="2313"/>
            <w:tcBorders>
              <w:top w:val="single" w:color="DDE2E7" w:sz="4"/>
              <w:left w:val="single" w:color="DDE2E7" w:sz="4"/>
              <w:bottom w:val="single" w:color="DDE2E7" w:sz="4"/>
              <w:right w:val="single" w:color="DDE2E7" w:sz="4"/>
            </w:tcBorders>
            <w:tcMar>
              <w:top w:type="dxa" w:w="60"/>
              <w:left w:type="dxa" w:w="90"/>
              <w:bottom w:type="dxa" w:w="60"/>
              <w:right w:type="dxa" w:w="90"/>
            </w:tcMar>
            <w:vAlign w:val="top"/>
          </w:tcPr>
          <w:p>
            <w:pPr>
              <w:spacing w:after="0" w:line="252"/>
            </w:pPr>
            <w:r>
              <w:rPr>
                <w:rFonts w:ascii="Calibri" w:cs="Calibri" w:eastAsia="Calibri" w:hAnsi="Calibri"/>
                <w:b w:val="false"/>
                <w:bCs w:val="false"/>
                <w:color w:val="0F1729"/>
                <w:sz w:val="19"/>
                <w:szCs w:val="19"/>
              </w:rPr>
              <w:t xml:space="preserve">Compliance</w:t>
            </w:r>
          </w:p>
        </w:tc>
        <w:tc>
          <w:tcPr>
            <w:tcW w:type="dxa" w:w="7325"/>
            <w:tcBorders>
              <w:top w:val="single" w:color="DDE2E7" w:sz="4"/>
              <w:left w:val="single" w:color="DDE2E7" w:sz="4"/>
              <w:bottom w:val="single" w:color="DDE2E7" w:sz="4"/>
              <w:right w:val="single" w:color="DDE2E7" w:sz="4"/>
            </w:tcBorders>
            <w:tcMar>
              <w:top w:type="dxa" w:w="60"/>
              <w:left w:type="dxa" w:w="90"/>
              <w:bottom w:type="dxa" w:w="60"/>
              <w:right w:type="dxa" w:w="90"/>
            </w:tcMar>
            <w:vAlign w:val="top"/>
          </w:tcPr>
          <w:p>
            <w:pPr>
              <w:spacing w:after="0" w:line="252"/>
            </w:pPr>
            <w:r>
              <w:rPr>
                <w:rFonts w:ascii="Calibri" w:cs="Calibri" w:eastAsia="Calibri" w:hAnsi="Calibri"/>
                <w:b w:val="false"/>
                <w:bCs w:val="false"/>
                <w:color w:val="0F1729"/>
                <w:sz w:val="19"/>
                <w:szCs w:val="19"/>
              </w:rPr>
              <w:t xml:space="preserve">ISO 27001 control mapping maintained in the delivery repository; data residency in the UAE region; retention and deletion per document type; configurable regulatory controls per country for Iraq, Saudi Arabia and the United States.</w:t>
            </w:r>
          </w:p>
        </w:tc>
      </w:tr>
    </w:tbl>
    <w:p>
      <w:pPr>
        <w:pStyle w:val="Heading1"/>
        <w:keepNext/>
        <w:spacing w:after="120" w:before="280"/>
      </w:pPr>
      <w:bookmarkStart w:name="_Toc23" w:id="23"/>
      <w:r>
        <w:rPr>
          <w:rFonts w:ascii="Calibri" w:cs="Calibri" w:eastAsia="Calibri" w:hAnsi="Calibri"/>
          <w:b/>
          <w:bCs/>
          <w:color w:val="0F1729"/>
          <w:sz w:val="32"/>
          <w:szCs w:val="32"/>
        </w:rPr>
        <w:t xml:space="preserve">10. Delivery plan to production</w:t>
      </w:r>
      <w:bookmarkEnd w:id="23"/>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8"/>
        <w:gridCol w:w="1157"/>
        <w:gridCol w:w="4048"/>
        <w:gridCol w:w="2506"/>
      </w:tblGrid>
      <w:tr>
        <w:trPr>
          <w:cantSplit/>
          <w:tblHeader/>
        </w:trPr>
        <w:tc>
          <w:tcPr>
            <w:tcW w:type="dxa" w:w="1928"/>
            <w:tcBorders>
              <w:top w:val="single" w:color="DDE2E7" w:sz="4"/>
              <w:left w:val="single" w:color="DDE2E7" w:sz="4"/>
              <w:bottom w:val="single" w:color="DDE2E7" w:sz="4"/>
              <w:right w:val="single" w:color="DDE2E7" w:sz="4"/>
            </w:tcBorders>
            <w:shd w:fill="F4F6F8" w:color="auto" w:val="clear"/>
            <w:tcMar>
              <w:top w:type="dxa" w:w="60"/>
              <w:left w:type="dxa" w:w="90"/>
              <w:bottom w:type="dxa" w:w="60"/>
              <w:right w:type="dxa" w:w="90"/>
            </w:tcMar>
            <w:vAlign w:val="top"/>
          </w:tcPr>
          <w:p>
            <w:pPr>
              <w:spacing w:after="0" w:line="252"/>
            </w:pPr>
            <w:r>
              <w:rPr>
                <w:rFonts w:ascii="Calibri" w:cs="Calibri" w:eastAsia="Calibri" w:hAnsi="Calibri"/>
                <w:b/>
                <w:bCs/>
                <w:color w:val="5B6576"/>
                <w:sz w:val="19"/>
                <w:szCs w:val="19"/>
              </w:rPr>
              <w:t xml:space="preserve">Phase</w:t>
            </w:r>
          </w:p>
        </w:tc>
        <w:tc>
          <w:tcPr>
            <w:tcW w:type="dxa" w:w="1157"/>
            <w:tcBorders>
              <w:top w:val="single" w:color="DDE2E7" w:sz="4"/>
              <w:left w:val="single" w:color="DDE2E7" w:sz="4"/>
              <w:bottom w:val="single" w:color="DDE2E7" w:sz="4"/>
              <w:right w:val="single" w:color="DDE2E7" w:sz="4"/>
            </w:tcBorders>
            <w:shd w:fill="F4F6F8" w:color="auto" w:val="clear"/>
            <w:tcMar>
              <w:top w:type="dxa" w:w="60"/>
              <w:left w:type="dxa" w:w="90"/>
              <w:bottom w:type="dxa" w:w="60"/>
              <w:right w:type="dxa" w:w="90"/>
            </w:tcMar>
            <w:vAlign w:val="top"/>
          </w:tcPr>
          <w:p>
            <w:pPr>
              <w:spacing w:after="0" w:line="252"/>
            </w:pPr>
            <w:r>
              <w:rPr>
                <w:rFonts w:ascii="Calibri" w:cs="Calibri" w:eastAsia="Calibri" w:hAnsi="Calibri"/>
                <w:b/>
                <w:bCs/>
                <w:color w:val="5B6576"/>
                <w:sz w:val="19"/>
                <w:szCs w:val="19"/>
              </w:rPr>
              <w:t xml:space="preserve">Duration</w:t>
            </w:r>
          </w:p>
        </w:tc>
        <w:tc>
          <w:tcPr>
            <w:tcW w:type="dxa" w:w="4048"/>
            <w:tcBorders>
              <w:top w:val="single" w:color="DDE2E7" w:sz="4"/>
              <w:left w:val="single" w:color="DDE2E7" w:sz="4"/>
              <w:bottom w:val="single" w:color="DDE2E7" w:sz="4"/>
              <w:right w:val="single" w:color="DDE2E7" w:sz="4"/>
            </w:tcBorders>
            <w:shd w:fill="F4F6F8" w:color="auto" w:val="clear"/>
            <w:tcMar>
              <w:top w:type="dxa" w:w="60"/>
              <w:left w:type="dxa" w:w="90"/>
              <w:bottom w:type="dxa" w:w="60"/>
              <w:right w:type="dxa" w:w="90"/>
            </w:tcMar>
            <w:vAlign w:val="top"/>
          </w:tcPr>
          <w:p>
            <w:pPr>
              <w:spacing w:after="0" w:line="252"/>
            </w:pPr>
            <w:r>
              <w:rPr>
                <w:rFonts w:ascii="Calibri" w:cs="Calibri" w:eastAsia="Calibri" w:hAnsi="Calibri"/>
                <w:b/>
                <w:bCs/>
                <w:color w:val="5B6576"/>
                <w:sz w:val="19"/>
                <w:szCs w:val="19"/>
              </w:rPr>
              <w:t xml:space="preserve">Scope</w:t>
            </w:r>
          </w:p>
        </w:tc>
        <w:tc>
          <w:tcPr>
            <w:tcW w:type="dxa" w:w="2506"/>
            <w:tcBorders>
              <w:top w:val="single" w:color="DDE2E7" w:sz="4"/>
              <w:left w:val="single" w:color="DDE2E7" w:sz="4"/>
              <w:bottom w:val="single" w:color="DDE2E7" w:sz="4"/>
              <w:right w:val="single" w:color="DDE2E7" w:sz="4"/>
            </w:tcBorders>
            <w:shd w:fill="F4F6F8" w:color="auto" w:val="clear"/>
            <w:tcMar>
              <w:top w:type="dxa" w:w="60"/>
              <w:left w:type="dxa" w:w="90"/>
              <w:bottom w:type="dxa" w:w="60"/>
              <w:right w:type="dxa" w:w="90"/>
            </w:tcMar>
            <w:vAlign w:val="top"/>
          </w:tcPr>
          <w:p>
            <w:pPr>
              <w:spacing w:after="0" w:line="252"/>
            </w:pPr>
            <w:r>
              <w:rPr>
                <w:rFonts w:ascii="Calibri" w:cs="Calibri" w:eastAsia="Calibri" w:hAnsi="Calibri"/>
                <w:b/>
                <w:bCs/>
                <w:color w:val="5B6576"/>
                <w:sz w:val="19"/>
                <w:szCs w:val="19"/>
              </w:rPr>
              <w:t xml:space="preserve">Exit criteria</w:t>
            </w:r>
          </w:p>
        </w:tc>
      </w:tr>
      <w:tr>
        <w:trPr>
          <w:cantSplit/>
          <w:tblHeader w:val="off"/>
        </w:trPr>
        <w:tc>
          <w:tcPr>
            <w:tcW w:type="dxa" w:w="1928"/>
            <w:tcBorders>
              <w:top w:val="single" w:color="DDE2E7" w:sz="4"/>
              <w:left w:val="single" w:color="DDE2E7" w:sz="4"/>
              <w:bottom w:val="single" w:color="DDE2E7" w:sz="4"/>
              <w:right w:val="single" w:color="DDE2E7" w:sz="4"/>
            </w:tcBorders>
            <w:tcMar>
              <w:top w:type="dxa" w:w="60"/>
              <w:left w:type="dxa" w:w="90"/>
              <w:bottom w:type="dxa" w:w="60"/>
              <w:right w:type="dxa" w:w="90"/>
            </w:tcMar>
            <w:vAlign w:val="top"/>
          </w:tcPr>
          <w:p>
            <w:pPr>
              <w:spacing w:after="0" w:line="252"/>
            </w:pPr>
            <w:r>
              <w:rPr>
                <w:rFonts w:ascii="Calibri" w:cs="Calibri" w:eastAsia="Calibri" w:hAnsi="Calibri"/>
                <w:b w:val="false"/>
                <w:bCs w:val="false"/>
                <w:color w:val="0F1729"/>
                <w:sz w:val="19"/>
                <w:szCs w:val="19"/>
              </w:rPr>
              <w:t xml:space="preserve">0. Mobilise</w:t>
            </w:r>
          </w:p>
        </w:tc>
        <w:tc>
          <w:tcPr>
            <w:tcW w:type="dxa" w:w="1157"/>
            <w:tcBorders>
              <w:top w:val="single" w:color="DDE2E7" w:sz="4"/>
              <w:left w:val="single" w:color="DDE2E7" w:sz="4"/>
              <w:bottom w:val="single" w:color="DDE2E7" w:sz="4"/>
              <w:right w:val="single" w:color="DDE2E7" w:sz="4"/>
            </w:tcBorders>
            <w:tcMar>
              <w:top w:type="dxa" w:w="60"/>
              <w:left w:type="dxa" w:w="90"/>
              <w:bottom w:type="dxa" w:w="60"/>
              <w:right w:type="dxa" w:w="90"/>
            </w:tcMar>
            <w:vAlign w:val="top"/>
          </w:tcPr>
          <w:p>
            <w:pPr>
              <w:spacing w:after="0" w:line="252"/>
            </w:pPr>
            <w:r>
              <w:rPr>
                <w:rFonts w:ascii="Calibri" w:cs="Calibri" w:eastAsia="Calibri" w:hAnsi="Calibri"/>
                <w:b w:val="false"/>
                <w:bCs w:val="false"/>
                <w:color w:val="0F1729"/>
                <w:sz w:val="19"/>
                <w:szCs w:val="19"/>
              </w:rPr>
              <w:t xml:space="preserve">3 weeks</w:t>
            </w:r>
          </w:p>
        </w:tc>
        <w:tc>
          <w:tcPr>
            <w:tcW w:type="dxa" w:w="4048"/>
            <w:tcBorders>
              <w:top w:val="single" w:color="DDE2E7" w:sz="4"/>
              <w:left w:val="single" w:color="DDE2E7" w:sz="4"/>
              <w:bottom w:val="single" w:color="DDE2E7" w:sz="4"/>
              <w:right w:val="single" w:color="DDE2E7" w:sz="4"/>
            </w:tcBorders>
            <w:tcMar>
              <w:top w:type="dxa" w:w="60"/>
              <w:left w:type="dxa" w:w="90"/>
              <w:bottom w:type="dxa" w:w="60"/>
              <w:right w:type="dxa" w:w="90"/>
            </w:tcMar>
            <w:vAlign w:val="top"/>
          </w:tcPr>
          <w:p>
            <w:pPr>
              <w:spacing w:after="0" w:line="252"/>
            </w:pPr>
            <w:r>
              <w:rPr>
                <w:rFonts w:ascii="Calibri" w:cs="Calibri" w:eastAsia="Calibri" w:hAnsi="Calibri"/>
                <w:b w:val="false"/>
                <w:bCs w:val="false"/>
                <w:color w:val="0F1729"/>
                <w:sz w:val="19"/>
                <w:szCs w:val="19"/>
              </w:rPr>
              <w:t xml:space="preserve">Workshops with terminal operations, customer service, Momentum and finance; confirm the tariff and placeholder rates; confirm integration contracts with MACH or Dynaport, SAP and customs; AWS landing zone.</w:t>
            </w:r>
          </w:p>
        </w:tc>
        <w:tc>
          <w:tcPr>
            <w:tcW w:type="dxa" w:w="2506"/>
            <w:tcBorders>
              <w:top w:val="single" w:color="DDE2E7" w:sz="4"/>
              <w:left w:val="single" w:color="DDE2E7" w:sz="4"/>
              <w:bottom w:val="single" w:color="DDE2E7" w:sz="4"/>
              <w:right w:val="single" w:color="DDE2E7" w:sz="4"/>
            </w:tcBorders>
            <w:tcMar>
              <w:top w:type="dxa" w:w="60"/>
              <w:left w:type="dxa" w:w="90"/>
              <w:bottom w:type="dxa" w:w="60"/>
              <w:right w:type="dxa" w:w="90"/>
            </w:tcMar>
            <w:vAlign w:val="top"/>
          </w:tcPr>
          <w:p>
            <w:pPr>
              <w:spacing w:after="0" w:line="252"/>
            </w:pPr>
            <w:r>
              <w:rPr>
                <w:rFonts w:ascii="Calibri" w:cs="Calibri" w:eastAsia="Calibri" w:hAnsi="Calibri"/>
                <w:b w:val="false"/>
                <w:bCs w:val="false"/>
                <w:color w:val="0F1729"/>
                <w:sz w:val="19"/>
                <w:szCs w:val="19"/>
              </w:rPr>
              <w:t xml:space="preserve">Signed scope, environments live, integration specifications agreed.</w:t>
            </w:r>
          </w:p>
        </w:tc>
      </w:tr>
      <w:tr>
        <w:trPr>
          <w:cantSplit/>
          <w:tblHeader w:val="off"/>
        </w:trPr>
        <w:tc>
          <w:tcPr>
            <w:tcW w:type="dxa" w:w="1928"/>
            <w:tcBorders>
              <w:top w:val="single" w:color="DDE2E7" w:sz="4"/>
              <w:left w:val="single" w:color="DDE2E7" w:sz="4"/>
              <w:bottom w:val="single" w:color="DDE2E7" w:sz="4"/>
              <w:right w:val="single" w:color="DDE2E7" w:sz="4"/>
            </w:tcBorders>
            <w:tcMar>
              <w:top w:type="dxa" w:w="60"/>
              <w:left w:type="dxa" w:w="90"/>
              <w:bottom w:type="dxa" w:w="60"/>
              <w:right w:type="dxa" w:w="90"/>
            </w:tcMar>
            <w:vAlign w:val="top"/>
          </w:tcPr>
          <w:p>
            <w:pPr>
              <w:spacing w:after="0" w:line="252"/>
            </w:pPr>
            <w:r>
              <w:rPr>
                <w:rFonts w:ascii="Calibri" w:cs="Calibri" w:eastAsia="Calibri" w:hAnsi="Calibri"/>
                <w:b w:val="false"/>
                <w:bCs w:val="false"/>
                <w:color w:val="0F1729"/>
                <w:sz w:val="19"/>
                <w:szCs w:val="19"/>
              </w:rPr>
              <w:t xml:space="preserve">1. Core terminal and gate</w:t>
            </w:r>
          </w:p>
        </w:tc>
        <w:tc>
          <w:tcPr>
            <w:tcW w:type="dxa" w:w="1157"/>
            <w:tcBorders>
              <w:top w:val="single" w:color="DDE2E7" w:sz="4"/>
              <w:left w:val="single" w:color="DDE2E7" w:sz="4"/>
              <w:bottom w:val="single" w:color="DDE2E7" w:sz="4"/>
              <w:right w:val="single" w:color="DDE2E7" w:sz="4"/>
            </w:tcBorders>
            <w:tcMar>
              <w:top w:type="dxa" w:w="60"/>
              <w:left w:type="dxa" w:w="90"/>
              <w:bottom w:type="dxa" w:w="60"/>
              <w:right w:type="dxa" w:w="90"/>
            </w:tcMar>
            <w:vAlign w:val="top"/>
          </w:tcPr>
          <w:p>
            <w:pPr>
              <w:spacing w:after="0" w:line="252"/>
            </w:pPr>
            <w:r>
              <w:rPr>
                <w:rFonts w:ascii="Calibri" w:cs="Calibri" w:eastAsia="Calibri" w:hAnsi="Calibri"/>
                <w:b w:val="false"/>
                <w:bCs w:val="false"/>
                <w:color w:val="0F1729"/>
                <w:sz w:val="19"/>
                <w:szCs w:val="19"/>
              </w:rPr>
              <w:t xml:space="preserve">10 weeks</w:t>
            </w:r>
          </w:p>
        </w:tc>
        <w:tc>
          <w:tcPr>
            <w:tcW w:type="dxa" w:w="4048"/>
            <w:tcBorders>
              <w:top w:val="single" w:color="DDE2E7" w:sz="4"/>
              <w:left w:val="single" w:color="DDE2E7" w:sz="4"/>
              <w:bottom w:val="single" w:color="DDE2E7" w:sz="4"/>
              <w:right w:val="single" w:color="DDE2E7" w:sz="4"/>
            </w:tcBorders>
            <w:tcMar>
              <w:top w:type="dxa" w:w="60"/>
              <w:left w:type="dxa" w:w="90"/>
              <w:bottom w:type="dxa" w:w="60"/>
              <w:right w:type="dxa" w:w="90"/>
            </w:tcMar>
            <w:vAlign w:val="top"/>
          </w:tcPr>
          <w:p>
            <w:pPr>
              <w:spacing w:after="0" w:line="252"/>
            </w:pPr>
            <w:r>
              <w:rPr>
                <w:rFonts w:ascii="Calibri" w:cs="Calibri" w:eastAsia="Calibri" w:hAnsi="Calibri"/>
                <w:b w:val="false"/>
                <w:bCs w:val="false"/>
                <w:color w:val="0F1729"/>
                <w:sz w:val="19"/>
                <w:szCs w:val="19"/>
              </w:rPr>
              <w:t xml:space="preserve">Vessel calls, containers, holds, customs, delivery orders, e-tokens, gate, EIR, tariff and collection; migration of open containers.</w:t>
            </w:r>
          </w:p>
        </w:tc>
        <w:tc>
          <w:tcPr>
            <w:tcW w:type="dxa" w:w="2506"/>
            <w:tcBorders>
              <w:top w:val="single" w:color="DDE2E7" w:sz="4"/>
              <w:left w:val="single" w:color="DDE2E7" w:sz="4"/>
              <w:bottom w:val="single" w:color="DDE2E7" w:sz="4"/>
              <w:right w:val="single" w:color="DDE2E7" w:sz="4"/>
            </w:tcBorders>
            <w:tcMar>
              <w:top w:type="dxa" w:w="60"/>
              <w:left w:type="dxa" w:w="90"/>
              <w:bottom w:type="dxa" w:w="60"/>
              <w:right w:type="dxa" w:w="90"/>
            </w:tcMar>
            <w:vAlign w:val="top"/>
          </w:tcPr>
          <w:p>
            <w:pPr>
              <w:spacing w:after="0" w:line="252"/>
            </w:pPr>
            <w:r>
              <w:rPr>
                <w:rFonts w:ascii="Calibri" w:cs="Calibri" w:eastAsia="Calibri" w:hAnsi="Calibri"/>
                <w:b w:val="false"/>
                <w:bCs w:val="false"/>
                <w:color w:val="0F1729"/>
                <w:sz w:val="19"/>
                <w:szCs w:val="19"/>
              </w:rPr>
              <w:t xml:space="preserve">Parallel run at one terminal; acceptance criteria 1 to 6, 13 and 14 of the SRS.</w:t>
            </w:r>
          </w:p>
        </w:tc>
      </w:tr>
      <w:tr>
        <w:trPr>
          <w:cantSplit/>
          <w:tblHeader w:val="off"/>
        </w:trPr>
        <w:tc>
          <w:tcPr>
            <w:tcW w:type="dxa" w:w="1928"/>
            <w:tcBorders>
              <w:top w:val="single" w:color="DDE2E7" w:sz="4"/>
              <w:left w:val="single" w:color="DDE2E7" w:sz="4"/>
              <w:bottom w:val="single" w:color="DDE2E7" w:sz="4"/>
              <w:right w:val="single" w:color="DDE2E7" w:sz="4"/>
            </w:tcBorders>
            <w:tcMar>
              <w:top w:type="dxa" w:w="60"/>
              <w:left w:type="dxa" w:w="90"/>
              <w:bottom w:type="dxa" w:w="60"/>
              <w:right w:type="dxa" w:w="90"/>
            </w:tcMar>
            <w:vAlign w:val="top"/>
          </w:tcPr>
          <w:p>
            <w:pPr>
              <w:spacing w:after="0" w:line="252"/>
            </w:pPr>
            <w:r>
              <w:rPr>
                <w:rFonts w:ascii="Calibri" w:cs="Calibri" w:eastAsia="Calibri" w:hAnsi="Calibri"/>
                <w:b w:val="false"/>
                <w:bCs w:val="false"/>
                <w:color w:val="0F1729"/>
                <w:sz w:val="19"/>
                <w:szCs w:val="19"/>
              </w:rPr>
              <w:t xml:space="preserve">2. Customer portal and finance</w:t>
            </w:r>
          </w:p>
        </w:tc>
        <w:tc>
          <w:tcPr>
            <w:tcW w:type="dxa" w:w="1157"/>
            <w:tcBorders>
              <w:top w:val="single" w:color="DDE2E7" w:sz="4"/>
              <w:left w:val="single" w:color="DDE2E7" w:sz="4"/>
              <w:bottom w:val="single" w:color="DDE2E7" w:sz="4"/>
              <w:right w:val="single" w:color="DDE2E7" w:sz="4"/>
            </w:tcBorders>
            <w:tcMar>
              <w:top w:type="dxa" w:w="60"/>
              <w:left w:type="dxa" w:w="90"/>
              <w:bottom w:type="dxa" w:w="60"/>
              <w:right w:type="dxa" w:w="90"/>
            </w:tcMar>
            <w:vAlign w:val="top"/>
          </w:tcPr>
          <w:p>
            <w:pPr>
              <w:spacing w:after="0" w:line="252"/>
            </w:pPr>
            <w:r>
              <w:rPr>
                <w:rFonts w:ascii="Calibri" w:cs="Calibri" w:eastAsia="Calibri" w:hAnsi="Calibri"/>
                <w:b w:val="false"/>
                <w:bCs w:val="false"/>
                <w:color w:val="0F1729"/>
                <w:sz w:val="19"/>
                <w:szCs w:val="19"/>
              </w:rPr>
              <w:t xml:space="preserve">8 weeks</w:t>
            </w:r>
          </w:p>
        </w:tc>
        <w:tc>
          <w:tcPr>
            <w:tcW w:type="dxa" w:w="4048"/>
            <w:tcBorders>
              <w:top w:val="single" w:color="DDE2E7" w:sz="4"/>
              <w:left w:val="single" w:color="DDE2E7" w:sz="4"/>
              <w:bottom w:val="single" w:color="DDE2E7" w:sz="4"/>
              <w:right w:val="single" w:color="DDE2E7" w:sz="4"/>
            </w:tcBorders>
            <w:tcMar>
              <w:top w:type="dxa" w:w="60"/>
              <w:left w:type="dxa" w:w="90"/>
              <w:bottom w:type="dxa" w:w="60"/>
              <w:right w:type="dxa" w:w="90"/>
            </w:tcMar>
            <w:vAlign w:val="top"/>
          </w:tcPr>
          <w:p>
            <w:pPr>
              <w:spacing w:after="0" w:line="252"/>
            </w:pPr>
            <w:r>
              <w:rPr>
                <w:rFonts w:ascii="Calibri" w:cs="Calibri" w:eastAsia="Calibri" w:hAnsi="Calibri"/>
                <w:b w:val="false"/>
                <w:bCs w:val="false"/>
                <w:color w:val="0F1729"/>
                <w:sz w:val="19"/>
                <w:szCs w:val="19"/>
              </w:rPr>
              <w:t xml:space="preserve">Public schedule, enquiry, e-token portal, payment gateway, invoicing, SAP postings.</w:t>
            </w:r>
          </w:p>
        </w:tc>
        <w:tc>
          <w:tcPr>
            <w:tcW w:type="dxa" w:w="2506"/>
            <w:tcBorders>
              <w:top w:val="single" w:color="DDE2E7" w:sz="4"/>
              <w:left w:val="single" w:color="DDE2E7" w:sz="4"/>
              <w:bottom w:val="single" w:color="DDE2E7" w:sz="4"/>
              <w:right w:val="single" w:color="DDE2E7" w:sz="4"/>
            </w:tcBorders>
            <w:tcMar>
              <w:top w:type="dxa" w:w="60"/>
              <w:left w:type="dxa" w:w="90"/>
              <w:bottom w:type="dxa" w:w="60"/>
              <w:right w:type="dxa" w:w="90"/>
            </w:tcMar>
            <w:vAlign w:val="top"/>
          </w:tcPr>
          <w:p>
            <w:pPr>
              <w:spacing w:after="0" w:line="252"/>
            </w:pPr>
            <w:r>
              <w:rPr>
                <w:rFonts w:ascii="Calibri" w:cs="Calibri" w:eastAsia="Calibri" w:hAnsi="Calibri"/>
                <w:b w:val="false"/>
                <w:bCs w:val="false"/>
                <w:color w:val="0F1729"/>
                <w:sz w:val="19"/>
                <w:szCs w:val="19"/>
              </w:rPr>
              <w:t xml:space="preserve">Portal live for registered customers; invoices reconciled with SAP.</w:t>
            </w:r>
          </w:p>
        </w:tc>
      </w:tr>
      <w:tr>
        <w:trPr>
          <w:cantSplit/>
          <w:tblHeader w:val="off"/>
        </w:trPr>
        <w:tc>
          <w:tcPr>
            <w:tcW w:type="dxa" w:w="1928"/>
            <w:tcBorders>
              <w:top w:val="single" w:color="DDE2E7" w:sz="4"/>
              <w:left w:val="single" w:color="DDE2E7" w:sz="4"/>
              <w:bottom w:val="single" w:color="DDE2E7" w:sz="4"/>
              <w:right w:val="single" w:color="DDE2E7" w:sz="4"/>
            </w:tcBorders>
            <w:tcMar>
              <w:top w:type="dxa" w:w="60"/>
              <w:left w:type="dxa" w:w="90"/>
              <w:bottom w:type="dxa" w:w="60"/>
              <w:right w:type="dxa" w:w="90"/>
            </w:tcMar>
            <w:vAlign w:val="top"/>
          </w:tcPr>
          <w:p>
            <w:pPr>
              <w:spacing w:after="0" w:line="252"/>
            </w:pPr>
            <w:r>
              <w:rPr>
                <w:rFonts w:ascii="Calibri" w:cs="Calibri" w:eastAsia="Calibri" w:hAnsi="Calibri"/>
                <w:b w:val="false"/>
                <w:bCs w:val="false"/>
                <w:color w:val="0F1729"/>
                <w:sz w:val="19"/>
                <w:szCs w:val="19"/>
              </w:rPr>
              <w:t xml:space="preserve">3. Inland logistics and warehousing</w:t>
            </w:r>
          </w:p>
        </w:tc>
        <w:tc>
          <w:tcPr>
            <w:tcW w:type="dxa" w:w="1157"/>
            <w:tcBorders>
              <w:top w:val="single" w:color="DDE2E7" w:sz="4"/>
              <w:left w:val="single" w:color="DDE2E7" w:sz="4"/>
              <w:bottom w:val="single" w:color="DDE2E7" w:sz="4"/>
              <w:right w:val="single" w:color="DDE2E7" w:sz="4"/>
            </w:tcBorders>
            <w:tcMar>
              <w:top w:type="dxa" w:w="60"/>
              <w:left w:type="dxa" w:w="90"/>
              <w:bottom w:type="dxa" w:w="60"/>
              <w:right w:type="dxa" w:w="90"/>
            </w:tcMar>
            <w:vAlign w:val="top"/>
          </w:tcPr>
          <w:p>
            <w:pPr>
              <w:spacing w:after="0" w:line="252"/>
            </w:pPr>
            <w:r>
              <w:rPr>
                <w:rFonts w:ascii="Calibri" w:cs="Calibri" w:eastAsia="Calibri" w:hAnsi="Calibri"/>
                <w:b w:val="false"/>
                <w:bCs w:val="false"/>
                <w:color w:val="0F1729"/>
                <w:sz w:val="19"/>
                <w:szCs w:val="19"/>
              </w:rPr>
              <w:t xml:space="preserve">8 weeks</w:t>
            </w:r>
          </w:p>
        </w:tc>
        <w:tc>
          <w:tcPr>
            <w:tcW w:type="dxa" w:w="4048"/>
            <w:tcBorders>
              <w:top w:val="single" w:color="DDE2E7" w:sz="4"/>
              <w:left w:val="single" w:color="DDE2E7" w:sz="4"/>
              <w:bottom w:val="single" w:color="DDE2E7" w:sz="4"/>
              <w:right w:val="single" w:color="DDE2E7" w:sz="4"/>
            </w:tcBorders>
            <w:tcMar>
              <w:top w:type="dxa" w:w="60"/>
              <w:left w:type="dxa" w:w="90"/>
              <w:bottom w:type="dxa" w:w="60"/>
              <w:right w:type="dxa" w:w="90"/>
            </w:tcMar>
            <w:vAlign w:val="top"/>
          </w:tcPr>
          <w:p>
            <w:pPr>
              <w:spacing w:after="0" w:line="252"/>
            </w:pPr>
            <w:r>
              <w:rPr>
                <w:rFonts w:ascii="Calibri" w:cs="Calibri" w:eastAsia="Calibri" w:hAnsi="Calibri"/>
                <w:b w:val="false"/>
                <w:bCs w:val="false"/>
                <w:color w:val="0F1729"/>
                <w:sz w:val="19"/>
                <w:szCs w:val="19"/>
              </w:rPr>
              <w:t xml:space="preserve">Transfers, transport jobs, warehouse orders, stock ledger, approvals, offline devices.</w:t>
            </w:r>
          </w:p>
        </w:tc>
        <w:tc>
          <w:tcPr>
            <w:tcW w:type="dxa" w:w="2506"/>
            <w:tcBorders>
              <w:top w:val="single" w:color="DDE2E7" w:sz="4"/>
              <w:left w:val="single" w:color="DDE2E7" w:sz="4"/>
              <w:bottom w:val="single" w:color="DDE2E7" w:sz="4"/>
              <w:right w:val="single" w:color="DDE2E7" w:sz="4"/>
            </w:tcBorders>
            <w:tcMar>
              <w:top w:type="dxa" w:w="60"/>
              <w:left w:type="dxa" w:w="90"/>
              <w:bottom w:type="dxa" w:w="60"/>
              <w:right w:type="dxa" w:w="90"/>
            </w:tcMar>
            <w:vAlign w:val="top"/>
          </w:tcPr>
          <w:p>
            <w:pPr>
              <w:spacing w:after="0" w:line="252"/>
            </w:pPr>
            <w:r>
              <w:rPr>
                <w:rFonts w:ascii="Calibri" w:cs="Calibri" w:eastAsia="Calibri" w:hAnsi="Calibri"/>
                <w:b w:val="false"/>
                <w:bCs w:val="false"/>
                <w:color w:val="0F1729"/>
                <w:sz w:val="19"/>
                <w:szCs w:val="19"/>
              </w:rPr>
              <w:t xml:space="preserve">Acceptance criteria 7 and 10; Momentum stock reconciled to ledger.</w:t>
            </w:r>
          </w:p>
        </w:tc>
      </w:tr>
      <w:tr>
        <w:trPr>
          <w:cantSplit/>
          <w:tblHeader w:val="off"/>
        </w:trPr>
        <w:tc>
          <w:tcPr>
            <w:tcW w:type="dxa" w:w="1928"/>
            <w:tcBorders>
              <w:top w:val="single" w:color="DDE2E7" w:sz="4"/>
              <w:left w:val="single" w:color="DDE2E7" w:sz="4"/>
              <w:bottom w:val="single" w:color="DDE2E7" w:sz="4"/>
              <w:right w:val="single" w:color="DDE2E7" w:sz="4"/>
            </w:tcBorders>
            <w:tcMar>
              <w:top w:type="dxa" w:w="60"/>
              <w:left w:type="dxa" w:w="90"/>
              <w:bottom w:type="dxa" w:w="60"/>
              <w:right w:type="dxa" w:w="90"/>
            </w:tcMar>
            <w:vAlign w:val="top"/>
          </w:tcPr>
          <w:p>
            <w:pPr>
              <w:spacing w:after="0" w:line="252"/>
            </w:pPr>
            <w:r>
              <w:rPr>
                <w:rFonts w:ascii="Calibri" w:cs="Calibri" w:eastAsia="Calibri" w:hAnsi="Calibri"/>
                <w:b w:val="false"/>
                <w:bCs w:val="false"/>
                <w:color w:val="0F1729"/>
                <w:sz w:val="19"/>
                <w:szCs w:val="19"/>
              </w:rPr>
              <w:t xml:space="preserve">4. Reporting, hardening and rollout</w:t>
            </w:r>
          </w:p>
        </w:tc>
        <w:tc>
          <w:tcPr>
            <w:tcW w:type="dxa" w:w="1157"/>
            <w:tcBorders>
              <w:top w:val="single" w:color="DDE2E7" w:sz="4"/>
              <w:left w:val="single" w:color="DDE2E7" w:sz="4"/>
              <w:bottom w:val="single" w:color="DDE2E7" w:sz="4"/>
              <w:right w:val="single" w:color="DDE2E7" w:sz="4"/>
            </w:tcBorders>
            <w:tcMar>
              <w:top w:type="dxa" w:w="60"/>
              <w:left w:type="dxa" w:w="90"/>
              <w:bottom w:type="dxa" w:w="60"/>
              <w:right w:type="dxa" w:w="90"/>
            </w:tcMar>
            <w:vAlign w:val="top"/>
          </w:tcPr>
          <w:p>
            <w:pPr>
              <w:spacing w:after="0" w:line="252"/>
            </w:pPr>
            <w:r>
              <w:rPr>
                <w:rFonts w:ascii="Calibri" w:cs="Calibri" w:eastAsia="Calibri" w:hAnsi="Calibri"/>
                <w:b w:val="false"/>
                <w:bCs w:val="false"/>
                <w:color w:val="0F1729"/>
                <w:sz w:val="19"/>
                <w:szCs w:val="19"/>
              </w:rPr>
              <w:t xml:space="preserve">6 weeks</w:t>
            </w:r>
          </w:p>
        </w:tc>
        <w:tc>
          <w:tcPr>
            <w:tcW w:type="dxa" w:w="4048"/>
            <w:tcBorders>
              <w:top w:val="single" w:color="DDE2E7" w:sz="4"/>
              <w:left w:val="single" w:color="DDE2E7" w:sz="4"/>
              <w:bottom w:val="single" w:color="DDE2E7" w:sz="4"/>
              <w:right w:val="single" w:color="DDE2E7" w:sz="4"/>
            </w:tcBorders>
            <w:tcMar>
              <w:top w:type="dxa" w:w="60"/>
              <w:left w:type="dxa" w:w="90"/>
              <w:bottom w:type="dxa" w:w="60"/>
              <w:right w:type="dxa" w:w="90"/>
            </w:tcMar>
            <w:vAlign w:val="top"/>
          </w:tcPr>
          <w:p>
            <w:pPr>
              <w:spacing w:after="0" w:line="252"/>
            </w:pPr>
            <w:r>
              <w:rPr>
                <w:rFonts w:ascii="Calibri" w:cs="Calibri" w:eastAsia="Calibri" w:hAnsi="Calibri"/>
                <w:b w:val="false"/>
                <w:bCs w:val="false"/>
                <w:color w:val="0F1729"/>
                <w:sz w:val="19"/>
                <w:szCs w:val="19"/>
              </w:rPr>
              <w:t xml:space="preserve">Reports on the read replica, load and failure testing, DR drill, penetration test, rollout to remaining terminals and countries.</w:t>
            </w:r>
          </w:p>
        </w:tc>
        <w:tc>
          <w:tcPr>
            <w:tcW w:type="dxa" w:w="2506"/>
            <w:tcBorders>
              <w:top w:val="single" w:color="DDE2E7" w:sz="4"/>
              <w:left w:val="single" w:color="DDE2E7" w:sz="4"/>
              <w:bottom w:val="single" w:color="DDE2E7" w:sz="4"/>
              <w:right w:val="single" w:color="DDE2E7" w:sz="4"/>
            </w:tcBorders>
            <w:tcMar>
              <w:top w:type="dxa" w:w="60"/>
              <w:left w:type="dxa" w:w="90"/>
              <w:bottom w:type="dxa" w:w="60"/>
              <w:right w:type="dxa" w:w="90"/>
            </w:tcMar>
            <w:vAlign w:val="top"/>
          </w:tcPr>
          <w:p>
            <w:pPr>
              <w:spacing w:after="0" w:line="252"/>
            </w:pPr>
            <w:r>
              <w:rPr>
                <w:rFonts w:ascii="Calibri" w:cs="Calibri" w:eastAsia="Calibri" w:hAnsi="Calibri"/>
                <w:b w:val="false"/>
                <w:bCs w:val="false"/>
                <w:color w:val="0F1729"/>
                <w:sz w:val="19"/>
                <w:szCs w:val="19"/>
              </w:rPr>
              <w:t xml:space="preserve">Acceptance criteria 11, 12 and 15; 99.95 percent availability demonstrated over 30 days.</w:t>
            </w:r>
          </w:p>
        </w:tc>
      </w:tr>
    </w:tbl>
    <w:p>
      <w:pPr>
        <w:pStyle w:val="Heading2"/>
        <w:keepNext/>
        <w:spacing w:after="80" w:before="220"/>
      </w:pPr>
      <w:bookmarkStart w:name="_Toc24" w:id="24"/>
      <w:r>
        <w:rPr>
          <w:rFonts w:ascii="Calibri" w:cs="Calibri" w:eastAsia="Calibri" w:hAnsi="Calibri"/>
          <w:b/>
          <w:bCs/>
          <w:color w:val="283F8F"/>
          <w:sz w:val="25"/>
          <w:szCs w:val="25"/>
        </w:rPr>
        <w:t xml:space="preserve">10.1 Testing strategy</w:t>
      </w:r>
      <w:bookmarkEnd w:id="24"/>
    </w:p>
    <w:p>
      <w:pPr>
        <w:pStyle w:val="ListParagraph"/>
        <w:numPr>
          <w:ilvl w:val="0"/>
          <w:numId w:val="2"/>
        </w:numPr>
        <w:spacing w:after="50" w:line="264"/>
      </w:pPr>
      <w:r>
        <w:rPr>
          <w:rFonts w:ascii="Calibri" w:cs="Calibri" w:eastAsia="Calibri" w:hAnsi="Calibri"/>
          <w:color w:val="0F1729"/>
          <w:sz w:val="21"/>
          <w:szCs w:val="21"/>
        </w:rPr>
        <w:t xml:space="preserve">Unit tests on the service layer, generated from the rules in section 6.2 (the prototype already proves each rule through the seed replay).</w:t>
      </w:r>
    </w:p>
    <w:p>
      <w:pPr>
        <w:pStyle w:val="ListParagraph"/>
        <w:numPr>
          <w:ilvl w:val="0"/>
          <w:numId w:val="2"/>
        </w:numPr>
        <w:spacing w:after="50" w:line="264"/>
      </w:pPr>
      <w:r>
        <w:rPr>
          <w:rFonts w:ascii="Calibri" w:cs="Calibri" w:eastAsia="Calibri" w:hAnsi="Calibri"/>
          <w:color w:val="0F1729"/>
          <w:sz w:val="21"/>
          <w:szCs w:val="21"/>
        </w:rPr>
        <w:t xml:space="preserve">Contract tests on the APIs from the OpenAPI document; integration tests with recorded EDI, customs and SAP messages including duplicates and out-of-order delivery.</w:t>
      </w:r>
    </w:p>
    <w:p>
      <w:pPr>
        <w:pStyle w:val="ListParagraph"/>
        <w:numPr>
          <w:ilvl w:val="0"/>
          <w:numId w:val="2"/>
        </w:numPr>
        <w:spacing w:after="50" w:line="264"/>
      </w:pPr>
      <w:r>
        <w:rPr>
          <w:rFonts w:ascii="Calibri" w:cs="Calibri" w:eastAsia="Calibri" w:hAnsi="Calibri"/>
          <w:color w:val="0F1729"/>
          <w:sz w:val="21"/>
          <w:szCs w:val="21"/>
        </w:rPr>
        <w:t xml:space="preserve">Concurrency tests: two gate devices releasing the same container, two users allocating the same stock, replayed offline queues.</w:t>
      </w:r>
    </w:p>
    <w:p>
      <w:pPr>
        <w:pStyle w:val="ListParagraph"/>
        <w:numPr>
          <w:ilvl w:val="0"/>
          <w:numId w:val="2"/>
        </w:numPr>
        <w:spacing w:after="50" w:line="264"/>
      </w:pPr>
      <w:r>
        <w:rPr>
          <w:rFonts w:ascii="Calibri" w:cs="Calibri" w:eastAsia="Calibri" w:hAnsi="Calibri"/>
          <w:color w:val="0F1729"/>
          <w:sz w:val="21"/>
          <w:szCs w:val="21"/>
        </w:rPr>
        <w:t xml:space="preserve">Load tests to 2x the SRS peak with p95 and p99 targets; chaos tests on Lambda throttling, Aurora failover and queue backlog.</w:t>
      </w:r>
    </w:p>
    <w:p>
      <w:pPr>
        <w:pStyle w:val="ListParagraph"/>
        <w:numPr>
          <w:ilvl w:val="0"/>
          <w:numId w:val="2"/>
        </w:numPr>
        <w:spacing w:after="50" w:line="264"/>
      </w:pPr>
      <w:r>
        <w:rPr>
          <w:rFonts w:ascii="Calibri" w:cs="Calibri" w:eastAsia="Calibri" w:hAnsi="Calibri"/>
          <w:color w:val="0F1729"/>
          <w:sz w:val="21"/>
          <w:szCs w:val="21"/>
        </w:rPr>
        <w:t xml:space="preserve">Disaster recovery drill from backups into a clean account; security testing by an external party before go-live.</w:t>
      </w:r>
    </w:p>
    <w:p>
      <w:pPr>
        <w:pStyle w:val="Heading2"/>
        <w:keepNext/>
        <w:spacing w:after="80" w:before="220"/>
      </w:pPr>
      <w:bookmarkStart w:name="_Toc25" w:id="25"/>
      <w:r>
        <w:rPr>
          <w:rFonts w:ascii="Calibri" w:cs="Calibri" w:eastAsia="Calibri" w:hAnsi="Calibri"/>
          <w:b/>
          <w:bCs/>
          <w:color w:val="283F8F"/>
          <w:sz w:val="25"/>
          <w:szCs w:val="25"/>
        </w:rPr>
        <w:t xml:space="preserve">10.2 Risks and how the design treats them</w:t>
      </w:r>
      <w:bookmarkEnd w:id="25"/>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77"/>
        <w:gridCol w:w="6361"/>
      </w:tblGrid>
      <w:tr>
        <w:trPr>
          <w:cantSplit/>
          <w:tblHeader/>
        </w:trPr>
        <w:tc>
          <w:tcPr>
            <w:tcW w:type="dxa" w:w="3277"/>
            <w:tcBorders>
              <w:top w:val="single" w:color="DDE2E7" w:sz="4"/>
              <w:left w:val="single" w:color="DDE2E7" w:sz="4"/>
              <w:bottom w:val="single" w:color="DDE2E7" w:sz="4"/>
              <w:right w:val="single" w:color="DDE2E7" w:sz="4"/>
            </w:tcBorders>
            <w:shd w:fill="F4F6F8" w:color="auto" w:val="clear"/>
            <w:tcMar>
              <w:top w:type="dxa" w:w="60"/>
              <w:left w:type="dxa" w:w="90"/>
              <w:bottom w:type="dxa" w:w="60"/>
              <w:right w:type="dxa" w:w="90"/>
            </w:tcMar>
            <w:vAlign w:val="top"/>
          </w:tcPr>
          <w:p>
            <w:pPr>
              <w:spacing w:after="0" w:line="252"/>
            </w:pPr>
            <w:r>
              <w:rPr>
                <w:rFonts w:ascii="Calibri" w:cs="Calibri" w:eastAsia="Calibri" w:hAnsi="Calibri"/>
                <w:b/>
                <w:bCs/>
                <w:color w:val="5B6576"/>
                <w:sz w:val="19"/>
                <w:szCs w:val="19"/>
              </w:rPr>
              <w:t xml:space="preserve">Risk</w:t>
            </w:r>
          </w:p>
        </w:tc>
        <w:tc>
          <w:tcPr>
            <w:tcW w:type="dxa" w:w="6361"/>
            <w:tcBorders>
              <w:top w:val="single" w:color="DDE2E7" w:sz="4"/>
              <w:left w:val="single" w:color="DDE2E7" w:sz="4"/>
              <w:bottom w:val="single" w:color="DDE2E7" w:sz="4"/>
              <w:right w:val="single" w:color="DDE2E7" w:sz="4"/>
            </w:tcBorders>
            <w:shd w:fill="F4F6F8" w:color="auto" w:val="clear"/>
            <w:tcMar>
              <w:top w:type="dxa" w:w="60"/>
              <w:left w:type="dxa" w:w="90"/>
              <w:bottom w:type="dxa" w:w="60"/>
              <w:right w:type="dxa" w:w="90"/>
            </w:tcMar>
            <w:vAlign w:val="top"/>
          </w:tcPr>
          <w:p>
            <w:pPr>
              <w:spacing w:after="0" w:line="252"/>
            </w:pPr>
            <w:r>
              <w:rPr>
                <w:rFonts w:ascii="Calibri" w:cs="Calibri" w:eastAsia="Calibri" w:hAnsi="Calibri"/>
                <w:b/>
                <w:bCs/>
                <w:color w:val="5B6576"/>
                <w:sz w:val="19"/>
                <w:szCs w:val="19"/>
              </w:rPr>
              <w:t xml:space="preserve">Treatment</w:t>
            </w:r>
          </w:p>
        </w:tc>
      </w:tr>
      <w:tr>
        <w:trPr>
          <w:cantSplit/>
          <w:tblHeader w:val="off"/>
        </w:trPr>
        <w:tc>
          <w:tcPr>
            <w:tcW w:type="dxa" w:w="3277"/>
            <w:tcBorders>
              <w:top w:val="single" w:color="DDE2E7" w:sz="4"/>
              <w:left w:val="single" w:color="DDE2E7" w:sz="4"/>
              <w:bottom w:val="single" w:color="DDE2E7" w:sz="4"/>
              <w:right w:val="single" w:color="DDE2E7" w:sz="4"/>
            </w:tcBorders>
            <w:tcMar>
              <w:top w:type="dxa" w:w="60"/>
              <w:left w:type="dxa" w:w="90"/>
              <w:bottom w:type="dxa" w:w="60"/>
              <w:right w:type="dxa" w:w="90"/>
            </w:tcMar>
            <w:vAlign w:val="top"/>
          </w:tcPr>
          <w:p>
            <w:pPr>
              <w:spacing w:after="0" w:line="252"/>
            </w:pPr>
            <w:r>
              <w:rPr>
                <w:rFonts w:ascii="Calibri" w:cs="Calibri" w:eastAsia="Calibri" w:hAnsi="Calibri"/>
                <w:b w:val="false"/>
                <w:bCs w:val="false"/>
                <w:color w:val="0F1729"/>
                <w:sz w:val="19"/>
                <w:szCs w:val="19"/>
              </w:rPr>
              <w:t xml:space="preserve">Integration contracts with MACH or Dynaport and SAP arrive late</w:t>
            </w:r>
          </w:p>
        </w:tc>
        <w:tc>
          <w:tcPr>
            <w:tcW w:type="dxa" w:w="6361"/>
            <w:tcBorders>
              <w:top w:val="single" w:color="DDE2E7" w:sz="4"/>
              <w:left w:val="single" w:color="DDE2E7" w:sz="4"/>
              <w:bottom w:val="single" w:color="DDE2E7" w:sz="4"/>
              <w:right w:val="single" w:color="DDE2E7" w:sz="4"/>
            </w:tcBorders>
            <w:tcMar>
              <w:top w:type="dxa" w:w="60"/>
              <w:left w:type="dxa" w:w="90"/>
              <w:bottom w:type="dxa" w:w="60"/>
              <w:right w:type="dxa" w:w="90"/>
            </w:tcMar>
            <w:vAlign w:val="top"/>
          </w:tcPr>
          <w:p>
            <w:pPr>
              <w:spacing w:after="0" w:line="252"/>
            </w:pPr>
            <w:r>
              <w:rPr>
                <w:rFonts w:ascii="Calibri" w:cs="Calibri" w:eastAsia="Calibri" w:hAnsi="Calibri"/>
                <w:b w:val="false"/>
                <w:bCs w:val="false"/>
                <w:color w:val="0F1729"/>
                <w:sz w:val="19"/>
                <w:szCs w:val="19"/>
              </w:rPr>
              <w:t xml:space="preserve">The platform owns its own container and finance records; integrations are adapters behind queues; the message simulator in the prototype becomes the contract test harness.</w:t>
            </w:r>
          </w:p>
        </w:tc>
      </w:tr>
      <w:tr>
        <w:trPr>
          <w:cantSplit/>
          <w:tblHeader w:val="off"/>
        </w:trPr>
        <w:tc>
          <w:tcPr>
            <w:tcW w:type="dxa" w:w="3277"/>
            <w:tcBorders>
              <w:top w:val="single" w:color="DDE2E7" w:sz="4"/>
              <w:left w:val="single" w:color="DDE2E7" w:sz="4"/>
              <w:bottom w:val="single" w:color="DDE2E7" w:sz="4"/>
              <w:right w:val="single" w:color="DDE2E7" w:sz="4"/>
            </w:tcBorders>
            <w:tcMar>
              <w:top w:type="dxa" w:w="60"/>
              <w:left w:type="dxa" w:w="90"/>
              <w:bottom w:type="dxa" w:w="60"/>
              <w:right w:type="dxa" w:w="90"/>
            </w:tcMar>
            <w:vAlign w:val="top"/>
          </w:tcPr>
          <w:p>
            <w:pPr>
              <w:spacing w:after="0" w:line="252"/>
            </w:pPr>
            <w:r>
              <w:rPr>
                <w:rFonts w:ascii="Calibri" w:cs="Calibri" w:eastAsia="Calibri" w:hAnsi="Calibri"/>
                <w:b w:val="false"/>
                <w:bCs w:val="false"/>
                <w:color w:val="0F1729"/>
                <w:sz w:val="19"/>
                <w:szCs w:val="19"/>
              </w:rPr>
              <w:t xml:space="preserve">Tariff values and rules change</w:t>
            </w:r>
          </w:p>
        </w:tc>
        <w:tc>
          <w:tcPr>
            <w:tcW w:type="dxa" w:w="6361"/>
            <w:tcBorders>
              <w:top w:val="single" w:color="DDE2E7" w:sz="4"/>
              <w:left w:val="single" w:color="DDE2E7" w:sz="4"/>
              <w:bottom w:val="single" w:color="DDE2E7" w:sz="4"/>
              <w:right w:val="single" w:color="DDE2E7" w:sz="4"/>
            </w:tcBorders>
            <w:tcMar>
              <w:top w:type="dxa" w:w="60"/>
              <w:left w:type="dxa" w:w="90"/>
              <w:bottom w:type="dxa" w:w="60"/>
              <w:right w:type="dxa" w:w="90"/>
            </w:tcMar>
            <w:vAlign w:val="top"/>
          </w:tcPr>
          <w:p>
            <w:pPr>
              <w:spacing w:after="0" w:line="252"/>
            </w:pPr>
            <w:r>
              <w:rPr>
                <w:rFonts w:ascii="Calibri" w:cs="Calibri" w:eastAsia="Calibri" w:hAnsi="Calibri"/>
                <w:b w:val="false"/>
                <w:bCs w:val="false"/>
                <w:color w:val="0F1729"/>
                <w:sz w:val="19"/>
                <w:szCs w:val="19"/>
              </w:rPr>
              <w:t xml:space="preserve">The tariff is data with an audit trail; rates and free days are edited by finance, not deployed.</w:t>
            </w:r>
          </w:p>
        </w:tc>
      </w:tr>
      <w:tr>
        <w:trPr>
          <w:cantSplit/>
          <w:tblHeader w:val="off"/>
        </w:trPr>
        <w:tc>
          <w:tcPr>
            <w:tcW w:type="dxa" w:w="3277"/>
            <w:tcBorders>
              <w:top w:val="single" w:color="DDE2E7" w:sz="4"/>
              <w:left w:val="single" w:color="DDE2E7" w:sz="4"/>
              <w:bottom w:val="single" w:color="DDE2E7" w:sz="4"/>
              <w:right w:val="single" w:color="DDE2E7" w:sz="4"/>
            </w:tcBorders>
            <w:tcMar>
              <w:top w:type="dxa" w:w="60"/>
              <w:left w:type="dxa" w:w="90"/>
              <w:bottom w:type="dxa" w:w="60"/>
              <w:right w:type="dxa" w:w="90"/>
            </w:tcMar>
            <w:vAlign w:val="top"/>
          </w:tcPr>
          <w:p>
            <w:pPr>
              <w:spacing w:after="0" w:line="252"/>
            </w:pPr>
            <w:r>
              <w:rPr>
                <w:rFonts w:ascii="Calibri" w:cs="Calibri" w:eastAsia="Calibri" w:hAnsi="Calibri"/>
                <w:b w:val="false"/>
                <w:bCs w:val="false"/>
                <w:color w:val="0F1729"/>
                <w:sz w:val="19"/>
                <w:szCs w:val="19"/>
              </w:rPr>
              <w:t xml:space="preserve">Gate connectivity at Khorfakkan and the depots</w:t>
            </w:r>
          </w:p>
        </w:tc>
        <w:tc>
          <w:tcPr>
            <w:tcW w:type="dxa" w:w="6361"/>
            <w:tcBorders>
              <w:top w:val="single" w:color="DDE2E7" w:sz="4"/>
              <w:left w:val="single" w:color="DDE2E7" w:sz="4"/>
              <w:bottom w:val="single" w:color="DDE2E7" w:sz="4"/>
              <w:right w:val="single" w:color="DDE2E7" w:sz="4"/>
            </w:tcBorders>
            <w:tcMar>
              <w:top w:type="dxa" w:w="60"/>
              <w:left w:type="dxa" w:w="90"/>
              <w:bottom w:type="dxa" w:w="60"/>
              <w:right w:type="dxa" w:w="90"/>
            </w:tcMar>
            <w:vAlign w:val="top"/>
          </w:tcPr>
          <w:p>
            <w:pPr>
              <w:spacing w:after="0" w:line="252"/>
            </w:pPr>
            <w:r>
              <w:rPr>
                <w:rFonts w:ascii="Calibri" w:cs="Calibri" w:eastAsia="Calibri" w:hAnsi="Calibri"/>
                <w:b w:val="false"/>
                <w:bCs w:val="false"/>
                <w:color w:val="0F1729"/>
                <w:sz w:val="19"/>
                <w:szCs w:val="19"/>
              </w:rPr>
              <w:t xml:space="preserve">Offline-first gate client with idempotent replay; DynamoDB queue state; Zabbix on the gate network.</w:t>
            </w:r>
          </w:p>
        </w:tc>
      </w:tr>
      <w:tr>
        <w:trPr>
          <w:cantSplit/>
          <w:tblHeader w:val="off"/>
        </w:trPr>
        <w:tc>
          <w:tcPr>
            <w:tcW w:type="dxa" w:w="3277"/>
            <w:tcBorders>
              <w:top w:val="single" w:color="DDE2E7" w:sz="4"/>
              <w:left w:val="single" w:color="DDE2E7" w:sz="4"/>
              <w:bottom w:val="single" w:color="DDE2E7" w:sz="4"/>
              <w:right w:val="single" w:color="DDE2E7" w:sz="4"/>
            </w:tcBorders>
            <w:tcMar>
              <w:top w:type="dxa" w:w="60"/>
              <w:left w:type="dxa" w:w="90"/>
              <w:bottom w:type="dxa" w:w="60"/>
              <w:right w:type="dxa" w:w="90"/>
            </w:tcMar>
            <w:vAlign w:val="top"/>
          </w:tcPr>
          <w:p>
            <w:pPr>
              <w:spacing w:after="0" w:line="252"/>
            </w:pPr>
            <w:r>
              <w:rPr>
                <w:rFonts w:ascii="Calibri" w:cs="Calibri" w:eastAsia="Calibri" w:hAnsi="Calibri"/>
                <w:b w:val="false"/>
                <w:bCs w:val="false"/>
                <w:color w:val="0F1729"/>
                <w:sz w:val="19"/>
                <w:szCs w:val="19"/>
              </w:rPr>
              <w:t xml:space="preserve">Customer adoption of the portal</w:t>
            </w:r>
          </w:p>
        </w:tc>
        <w:tc>
          <w:tcPr>
            <w:tcW w:type="dxa" w:w="6361"/>
            <w:tcBorders>
              <w:top w:val="single" w:color="DDE2E7" w:sz="4"/>
              <w:left w:val="single" w:color="DDE2E7" w:sz="4"/>
              <w:bottom w:val="single" w:color="DDE2E7" w:sz="4"/>
              <w:right w:val="single" w:color="DDE2E7" w:sz="4"/>
            </w:tcBorders>
            <w:tcMar>
              <w:top w:type="dxa" w:w="60"/>
              <w:left w:type="dxa" w:w="90"/>
              <w:bottom w:type="dxa" w:w="60"/>
              <w:right w:type="dxa" w:w="90"/>
            </w:tcMar>
            <w:vAlign w:val="top"/>
          </w:tcPr>
          <w:p>
            <w:pPr>
              <w:spacing w:after="0" w:line="252"/>
            </w:pPr>
            <w:r>
              <w:rPr>
                <w:rFonts w:ascii="Calibri" w:cs="Calibri" w:eastAsia="Calibri" w:hAnsi="Calibri"/>
                <w:b w:val="false"/>
                <w:bCs w:val="false"/>
                <w:color w:val="0F1729"/>
                <w:sz w:val="19"/>
                <w:szCs w:val="19"/>
              </w:rPr>
              <w:t xml:space="preserve">The portal mirrors the processes customers already follow on Gulftainer’s e-services (registration, e-token, online payment), so the change is in presentation, not procedure.</w:t>
            </w:r>
          </w:p>
        </w:tc>
      </w:tr>
      <w:tr>
        <w:trPr>
          <w:cantSplit/>
          <w:tblHeader w:val="off"/>
        </w:trPr>
        <w:tc>
          <w:tcPr>
            <w:tcW w:type="dxa" w:w="3277"/>
            <w:tcBorders>
              <w:top w:val="single" w:color="DDE2E7" w:sz="4"/>
              <w:left w:val="single" w:color="DDE2E7" w:sz="4"/>
              <w:bottom w:val="single" w:color="DDE2E7" w:sz="4"/>
              <w:right w:val="single" w:color="DDE2E7" w:sz="4"/>
            </w:tcBorders>
            <w:tcMar>
              <w:top w:type="dxa" w:w="60"/>
              <w:left w:type="dxa" w:w="90"/>
              <w:bottom w:type="dxa" w:w="60"/>
              <w:right w:type="dxa" w:w="90"/>
            </w:tcMar>
            <w:vAlign w:val="top"/>
          </w:tcPr>
          <w:p>
            <w:pPr>
              <w:spacing w:after="0" w:line="252"/>
            </w:pPr>
            <w:r>
              <w:rPr>
                <w:rFonts w:ascii="Calibri" w:cs="Calibri" w:eastAsia="Calibri" w:hAnsi="Calibri"/>
                <w:b w:val="false"/>
                <w:bCs w:val="false"/>
                <w:color w:val="0F1729"/>
                <w:sz w:val="19"/>
                <w:szCs w:val="19"/>
              </w:rPr>
              <w:t xml:space="preserve">Data migration from the current TOS</w:t>
            </w:r>
          </w:p>
        </w:tc>
        <w:tc>
          <w:tcPr>
            <w:tcW w:type="dxa" w:w="6361"/>
            <w:tcBorders>
              <w:top w:val="single" w:color="DDE2E7" w:sz="4"/>
              <w:left w:val="single" w:color="DDE2E7" w:sz="4"/>
              <w:bottom w:val="single" w:color="DDE2E7" w:sz="4"/>
              <w:right w:val="single" w:color="DDE2E7" w:sz="4"/>
            </w:tcBorders>
            <w:tcMar>
              <w:top w:type="dxa" w:w="60"/>
              <w:left w:type="dxa" w:w="90"/>
              <w:bottom w:type="dxa" w:w="60"/>
              <w:right w:type="dxa" w:w="90"/>
            </w:tcMar>
            <w:vAlign w:val="top"/>
          </w:tcPr>
          <w:p>
            <w:pPr>
              <w:spacing w:after="0" w:line="252"/>
            </w:pPr>
            <w:r>
              <w:rPr>
                <w:rFonts w:ascii="Calibri" w:cs="Calibri" w:eastAsia="Calibri" w:hAnsi="Calibri"/>
                <w:b w:val="false"/>
                <w:bCs w:val="false"/>
                <w:color w:val="0F1729"/>
                <w:sz w:val="19"/>
                <w:szCs w:val="19"/>
              </w:rPr>
              <w:t xml:space="preserve">Open containers and calls migrated through the same registration services, so the rules validate the migrated data.</w:t>
            </w:r>
          </w:p>
        </w:tc>
      </w:tr>
    </w:tbl>
    <w:p>
      <w:pPr>
        <w:pStyle w:val="Heading1"/>
        <w:keepNext/>
        <w:spacing w:after="120" w:before="280"/>
      </w:pPr>
      <w:bookmarkStart w:name="_Toc26" w:id="26"/>
      <w:r>
        <w:rPr>
          <w:rFonts w:ascii="Calibri" w:cs="Calibri" w:eastAsia="Calibri" w:hAnsi="Calibri"/>
          <w:b/>
          <w:bCs/>
          <w:color w:val="0F1729"/>
          <w:sz w:val="32"/>
          <w:szCs w:val="32"/>
        </w:rPr>
        <w:t xml:space="preserve">11. Appendices</w:t>
      </w:r>
      <w:bookmarkEnd w:id="26"/>
    </w:p>
    <w:p>
      <w:pPr>
        <w:pStyle w:val="Heading2"/>
        <w:keepNext/>
        <w:spacing w:after="80" w:before="220"/>
      </w:pPr>
      <w:bookmarkStart w:name="_Toc27" w:id="27"/>
      <w:r>
        <w:rPr>
          <w:rFonts w:ascii="Calibri" w:cs="Calibri" w:eastAsia="Calibri" w:hAnsi="Calibri"/>
          <w:b/>
          <w:bCs/>
          <w:color w:val="283F8F"/>
          <w:sz w:val="25"/>
          <w:szCs w:val="25"/>
        </w:rPr>
        <w:t xml:space="preserve">A. Repository layout</w:t>
      </w:r>
      <w:bookmarkEnd w:id="27"/>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6747"/>
      </w:tblGrid>
      <w:tr>
        <w:trPr>
          <w:cantSplit/>
          <w:tblHeader/>
        </w:trPr>
        <w:tc>
          <w:tcPr>
            <w:tcW w:type="dxa" w:w="2891"/>
            <w:tcBorders>
              <w:top w:val="single" w:color="DDE2E7" w:sz="4"/>
              <w:left w:val="single" w:color="DDE2E7" w:sz="4"/>
              <w:bottom w:val="single" w:color="DDE2E7" w:sz="4"/>
              <w:right w:val="single" w:color="DDE2E7" w:sz="4"/>
            </w:tcBorders>
            <w:shd w:fill="F4F6F8" w:color="auto" w:val="clear"/>
            <w:tcMar>
              <w:top w:type="dxa" w:w="60"/>
              <w:left w:type="dxa" w:w="90"/>
              <w:bottom w:type="dxa" w:w="60"/>
              <w:right w:type="dxa" w:w="90"/>
            </w:tcMar>
            <w:vAlign w:val="top"/>
          </w:tcPr>
          <w:p>
            <w:pPr>
              <w:spacing w:after="0" w:line="252"/>
            </w:pPr>
            <w:r>
              <w:rPr>
                <w:rFonts w:ascii="Calibri" w:cs="Calibri" w:eastAsia="Calibri" w:hAnsi="Calibri"/>
                <w:b/>
                <w:bCs/>
                <w:color w:val="5B6576"/>
                <w:sz w:val="19"/>
                <w:szCs w:val="19"/>
              </w:rPr>
              <w:t xml:space="preserve">Path</w:t>
            </w:r>
          </w:p>
        </w:tc>
        <w:tc>
          <w:tcPr>
            <w:tcW w:type="dxa" w:w="6747"/>
            <w:tcBorders>
              <w:top w:val="single" w:color="DDE2E7" w:sz="4"/>
              <w:left w:val="single" w:color="DDE2E7" w:sz="4"/>
              <w:bottom w:val="single" w:color="DDE2E7" w:sz="4"/>
              <w:right w:val="single" w:color="DDE2E7" w:sz="4"/>
            </w:tcBorders>
            <w:shd w:fill="F4F6F8" w:color="auto" w:val="clear"/>
            <w:tcMar>
              <w:top w:type="dxa" w:w="60"/>
              <w:left w:type="dxa" w:w="90"/>
              <w:bottom w:type="dxa" w:w="60"/>
              <w:right w:type="dxa" w:w="90"/>
            </w:tcMar>
            <w:vAlign w:val="top"/>
          </w:tcPr>
          <w:p>
            <w:pPr>
              <w:spacing w:after="0" w:line="252"/>
            </w:pPr>
            <w:r>
              <w:rPr>
                <w:rFonts w:ascii="Calibri" w:cs="Calibri" w:eastAsia="Calibri" w:hAnsi="Calibri"/>
                <w:b/>
                <w:bCs/>
                <w:color w:val="5B6576"/>
                <w:sz w:val="19"/>
                <w:szCs w:val="19"/>
              </w:rPr>
              <w:t xml:space="preserve">Contents</w:t>
            </w:r>
          </w:p>
        </w:tc>
      </w:tr>
      <w:tr>
        <w:trPr>
          <w:cantSplit/>
          <w:tblHeader w:val="off"/>
        </w:trPr>
        <w:tc>
          <w:tcPr>
            <w:tcW w:type="dxa" w:w="2891"/>
            <w:tcBorders>
              <w:top w:val="single" w:color="DDE2E7" w:sz="4"/>
              <w:left w:val="single" w:color="DDE2E7" w:sz="4"/>
              <w:bottom w:val="single" w:color="DDE2E7" w:sz="4"/>
              <w:right w:val="single" w:color="DDE2E7" w:sz="4"/>
            </w:tcBorders>
            <w:tcMar>
              <w:top w:type="dxa" w:w="60"/>
              <w:left w:type="dxa" w:w="90"/>
              <w:bottom w:type="dxa" w:w="60"/>
              <w:right w:type="dxa" w:w="90"/>
            </w:tcMar>
            <w:vAlign w:val="top"/>
          </w:tcPr>
          <w:p>
            <w:pPr>
              <w:spacing w:after="0" w:line="252"/>
            </w:pPr>
            <w:r>
              <w:rPr>
                <w:rFonts w:ascii="Calibri" w:cs="Calibri" w:eastAsia="Calibri" w:hAnsi="Calibri"/>
                <w:b w:val="false"/>
                <w:bCs w:val="false"/>
                <w:color w:val="0F1729"/>
                <w:sz w:val="19"/>
                <w:szCs w:val="19"/>
              </w:rPr>
              <w:t xml:space="preserve">app/admin/*</w:t>
            </w:r>
          </w:p>
        </w:tc>
        <w:tc>
          <w:tcPr>
            <w:tcW w:type="dxa" w:w="6747"/>
            <w:tcBorders>
              <w:top w:val="single" w:color="DDE2E7" w:sz="4"/>
              <w:left w:val="single" w:color="DDE2E7" w:sz="4"/>
              <w:bottom w:val="single" w:color="DDE2E7" w:sz="4"/>
              <w:right w:val="single" w:color="DDE2E7" w:sz="4"/>
            </w:tcBorders>
            <w:tcMar>
              <w:top w:type="dxa" w:w="60"/>
              <w:left w:type="dxa" w:w="90"/>
              <w:bottom w:type="dxa" w:w="60"/>
              <w:right w:type="dxa" w:w="90"/>
            </w:tcMar>
            <w:vAlign w:val="top"/>
          </w:tcPr>
          <w:p>
            <w:pPr>
              <w:spacing w:after="0" w:line="252"/>
            </w:pPr>
            <w:r>
              <w:rPr>
                <w:rFonts w:ascii="Calibri" w:cs="Calibri" w:eastAsia="Calibri" w:hAnsi="Calibri"/>
                <w:b w:val="false"/>
                <w:bCs w:val="false"/>
                <w:color w:val="0F1729"/>
                <w:sz w:val="19"/>
                <w:szCs w:val="19"/>
              </w:rPr>
              <w:t xml:space="preserve">Operations modules; one folder per screen; dynamic records under [id].</w:t>
            </w:r>
          </w:p>
        </w:tc>
      </w:tr>
      <w:tr>
        <w:trPr>
          <w:cantSplit/>
          <w:tblHeader w:val="off"/>
        </w:trPr>
        <w:tc>
          <w:tcPr>
            <w:tcW w:type="dxa" w:w="2891"/>
            <w:tcBorders>
              <w:top w:val="single" w:color="DDE2E7" w:sz="4"/>
              <w:left w:val="single" w:color="DDE2E7" w:sz="4"/>
              <w:bottom w:val="single" w:color="DDE2E7" w:sz="4"/>
              <w:right w:val="single" w:color="DDE2E7" w:sz="4"/>
            </w:tcBorders>
            <w:tcMar>
              <w:top w:type="dxa" w:w="60"/>
              <w:left w:type="dxa" w:w="90"/>
              <w:bottom w:type="dxa" w:w="60"/>
              <w:right w:type="dxa" w:w="90"/>
            </w:tcMar>
            <w:vAlign w:val="top"/>
          </w:tcPr>
          <w:p>
            <w:pPr>
              <w:spacing w:after="0" w:line="252"/>
            </w:pPr>
            <w:r>
              <w:rPr>
                <w:rFonts w:ascii="Calibri" w:cs="Calibri" w:eastAsia="Calibri" w:hAnsi="Calibri"/>
                <w:b w:val="false"/>
                <w:bCs w:val="false"/>
                <w:color w:val="0F1729"/>
                <w:sz w:val="19"/>
                <w:szCs w:val="19"/>
              </w:rPr>
              <w:t xml:space="preserve">app/(site)/*</w:t>
            </w:r>
          </w:p>
        </w:tc>
        <w:tc>
          <w:tcPr>
            <w:tcW w:type="dxa" w:w="6747"/>
            <w:tcBorders>
              <w:top w:val="single" w:color="DDE2E7" w:sz="4"/>
              <w:left w:val="single" w:color="DDE2E7" w:sz="4"/>
              <w:bottom w:val="single" w:color="DDE2E7" w:sz="4"/>
              <w:right w:val="single" w:color="DDE2E7" w:sz="4"/>
            </w:tcBorders>
            <w:tcMar>
              <w:top w:type="dxa" w:w="60"/>
              <w:left w:type="dxa" w:w="90"/>
              <w:bottom w:type="dxa" w:w="60"/>
              <w:right w:type="dxa" w:w="90"/>
            </w:tcMar>
            <w:vAlign w:val="top"/>
          </w:tcPr>
          <w:p>
            <w:pPr>
              <w:spacing w:after="0" w:line="252"/>
            </w:pPr>
            <w:r>
              <w:rPr>
                <w:rFonts w:ascii="Calibri" w:cs="Calibri" w:eastAsia="Calibri" w:hAnsi="Calibri"/>
                <w:b w:val="false"/>
                <w:bCs w:val="false"/>
                <w:color w:val="0F1729"/>
                <w:sz w:val="19"/>
                <w:szCs w:val="19"/>
              </w:rPr>
              <w:t xml:space="preserve">Customer e-services portal.</w:t>
            </w:r>
          </w:p>
        </w:tc>
      </w:tr>
      <w:tr>
        <w:trPr>
          <w:cantSplit/>
          <w:tblHeader w:val="off"/>
        </w:trPr>
        <w:tc>
          <w:tcPr>
            <w:tcW w:type="dxa" w:w="2891"/>
            <w:tcBorders>
              <w:top w:val="single" w:color="DDE2E7" w:sz="4"/>
              <w:left w:val="single" w:color="DDE2E7" w:sz="4"/>
              <w:bottom w:val="single" w:color="DDE2E7" w:sz="4"/>
              <w:right w:val="single" w:color="DDE2E7" w:sz="4"/>
            </w:tcBorders>
            <w:tcMar>
              <w:top w:type="dxa" w:w="60"/>
              <w:left w:type="dxa" w:w="90"/>
              <w:bottom w:type="dxa" w:w="60"/>
              <w:right w:type="dxa" w:w="90"/>
            </w:tcMar>
            <w:vAlign w:val="top"/>
          </w:tcPr>
          <w:p>
            <w:pPr>
              <w:spacing w:after="0" w:line="252"/>
            </w:pPr>
            <w:r>
              <w:rPr>
                <w:rFonts w:ascii="Calibri" w:cs="Calibri" w:eastAsia="Calibri" w:hAnsi="Calibri"/>
                <w:b w:val="false"/>
                <w:bCs w:val="false"/>
                <w:color w:val="0F1729"/>
                <w:sz w:val="19"/>
                <w:szCs w:val="19"/>
              </w:rPr>
              <w:t xml:space="preserve">components/ui/*</w:t>
            </w:r>
          </w:p>
        </w:tc>
        <w:tc>
          <w:tcPr>
            <w:tcW w:type="dxa" w:w="6747"/>
            <w:tcBorders>
              <w:top w:val="single" w:color="DDE2E7" w:sz="4"/>
              <w:left w:val="single" w:color="DDE2E7" w:sz="4"/>
              <w:bottom w:val="single" w:color="DDE2E7" w:sz="4"/>
              <w:right w:val="single" w:color="DDE2E7" w:sz="4"/>
            </w:tcBorders>
            <w:tcMar>
              <w:top w:type="dxa" w:w="60"/>
              <w:left w:type="dxa" w:w="90"/>
              <w:bottom w:type="dxa" w:w="60"/>
              <w:right w:type="dxa" w:w="90"/>
            </w:tcMar>
            <w:vAlign w:val="top"/>
          </w:tcPr>
          <w:p>
            <w:pPr>
              <w:spacing w:after="0" w:line="252"/>
            </w:pPr>
            <w:r>
              <w:rPr>
                <w:rFonts w:ascii="Calibri" w:cs="Calibri" w:eastAsia="Calibri" w:hAnsi="Calibri"/>
                <w:b w:val="false"/>
                <w:bCs w:val="false"/>
                <w:color w:val="0F1729"/>
                <w:sz w:val="19"/>
                <w:szCs w:val="19"/>
              </w:rPr>
              <w:t xml:space="preserve">Design-system primitives (ported from SSI Events plus the additions listed in DESIGN.md).</w:t>
            </w:r>
          </w:p>
        </w:tc>
      </w:tr>
      <w:tr>
        <w:trPr>
          <w:cantSplit/>
          <w:tblHeader w:val="off"/>
        </w:trPr>
        <w:tc>
          <w:tcPr>
            <w:tcW w:type="dxa" w:w="2891"/>
            <w:tcBorders>
              <w:top w:val="single" w:color="DDE2E7" w:sz="4"/>
              <w:left w:val="single" w:color="DDE2E7" w:sz="4"/>
              <w:bottom w:val="single" w:color="DDE2E7" w:sz="4"/>
              <w:right w:val="single" w:color="DDE2E7" w:sz="4"/>
            </w:tcBorders>
            <w:tcMar>
              <w:top w:type="dxa" w:w="60"/>
              <w:left w:type="dxa" w:w="90"/>
              <w:bottom w:type="dxa" w:w="60"/>
              <w:right w:type="dxa" w:w="90"/>
            </w:tcMar>
            <w:vAlign w:val="top"/>
          </w:tcPr>
          <w:p>
            <w:pPr>
              <w:spacing w:after="0" w:line="252"/>
            </w:pPr>
            <w:r>
              <w:rPr>
                <w:rFonts w:ascii="Calibri" w:cs="Calibri" w:eastAsia="Calibri" w:hAnsi="Calibri"/>
                <w:b w:val="false"/>
                <w:bCs w:val="false"/>
                <w:color w:val="0F1729"/>
                <w:sz w:val="19"/>
                <w:szCs w:val="19"/>
              </w:rPr>
              <w:t xml:space="preserve">components/admin/*</w:t>
            </w:r>
          </w:p>
        </w:tc>
        <w:tc>
          <w:tcPr>
            <w:tcW w:type="dxa" w:w="6747"/>
            <w:tcBorders>
              <w:top w:val="single" w:color="DDE2E7" w:sz="4"/>
              <w:left w:val="single" w:color="DDE2E7" w:sz="4"/>
              <w:bottom w:val="single" w:color="DDE2E7" w:sz="4"/>
              <w:right w:val="single" w:color="DDE2E7" w:sz="4"/>
            </w:tcBorders>
            <w:tcMar>
              <w:top w:type="dxa" w:w="60"/>
              <w:left w:type="dxa" w:w="90"/>
              <w:bottom w:type="dxa" w:w="60"/>
              <w:right w:type="dxa" w:w="90"/>
            </w:tcMar>
            <w:vAlign w:val="top"/>
          </w:tcPr>
          <w:p>
            <w:pPr>
              <w:spacing w:after="0" w:line="252"/>
            </w:pPr>
            <w:r>
              <w:rPr>
                <w:rFonts w:ascii="Calibri" w:cs="Calibri" w:eastAsia="Calibri" w:hAnsi="Calibri"/>
                <w:b w:val="false"/>
                <w:bCs w:val="false"/>
                <w:color w:val="0F1729"/>
                <w:sz w:val="19"/>
                <w:szCs w:val="19"/>
              </w:rPr>
              <w:t xml:space="preserve">Sidebar, shared badges and links, container dialogs, document upload, background workers.</w:t>
            </w:r>
          </w:p>
        </w:tc>
      </w:tr>
      <w:tr>
        <w:trPr>
          <w:cantSplit/>
          <w:tblHeader w:val="off"/>
        </w:trPr>
        <w:tc>
          <w:tcPr>
            <w:tcW w:type="dxa" w:w="2891"/>
            <w:tcBorders>
              <w:top w:val="single" w:color="DDE2E7" w:sz="4"/>
              <w:left w:val="single" w:color="DDE2E7" w:sz="4"/>
              <w:bottom w:val="single" w:color="DDE2E7" w:sz="4"/>
              <w:right w:val="single" w:color="DDE2E7" w:sz="4"/>
            </w:tcBorders>
            <w:tcMar>
              <w:top w:type="dxa" w:w="60"/>
              <w:left w:type="dxa" w:w="90"/>
              <w:bottom w:type="dxa" w:w="60"/>
              <w:right w:type="dxa" w:w="90"/>
            </w:tcMar>
            <w:vAlign w:val="top"/>
          </w:tcPr>
          <w:p>
            <w:pPr>
              <w:spacing w:after="0" w:line="252"/>
            </w:pPr>
            <w:r>
              <w:rPr>
                <w:rFonts w:ascii="Calibri" w:cs="Calibri" w:eastAsia="Calibri" w:hAnsi="Calibri"/>
                <w:b w:val="false"/>
                <w:bCs w:val="false"/>
                <w:color w:val="0F1729"/>
                <w:sz w:val="19"/>
                <w:szCs w:val="19"/>
              </w:rPr>
              <w:t xml:space="preserve">lib/ops/*</w:t>
            </w:r>
          </w:p>
        </w:tc>
        <w:tc>
          <w:tcPr>
            <w:tcW w:type="dxa" w:w="6747"/>
            <w:tcBorders>
              <w:top w:val="single" w:color="DDE2E7" w:sz="4"/>
              <w:left w:val="single" w:color="DDE2E7" w:sz="4"/>
              <w:bottom w:val="single" w:color="DDE2E7" w:sz="4"/>
              <w:right w:val="single" w:color="DDE2E7" w:sz="4"/>
            </w:tcBorders>
            <w:tcMar>
              <w:top w:type="dxa" w:w="60"/>
              <w:left w:type="dxa" w:w="90"/>
              <w:bottom w:type="dxa" w:w="60"/>
              <w:right w:type="dxa" w:w="90"/>
            </w:tcMar>
            <w:vAlign w:val="top"/>
          </w:tcPr>
          <w:p>
            <w:pPr>
              <w:spacing w:after="0" w:line="252"/>
            </w:pPr>
            <w:r>
              <w:rPr>
                <w:rFonts w:ascii="Calibri" w:cs="Calibri" w:eastAsia="Calibri" w:hAnsi="Calibri"/>
                <w:b w:val="false"/>
                <w:bCs w:val="false"/>
                <w:color w:val="0F1729"/>
                <w:sz w:val="19"/>
                <w:szCs w:val="19"/>
              </w:rPr>
              <w:t xml:space="preserve">Domain model, store, core, services, facade, tariff, ISO 6346, seed, hooks.</w:t>
            </w:r>
          </w:p>
        </w:tc>
      </w:tr>
      <w:tr>
        <w:trPr>
          <w:cantSplit/>
          <w:tblHeader w:val="off"/>
        </w:trPr>
        <w:tc>
          <w:tcPr>
            <w:tcW w:type="dxa" w:w="2891"/>
            <w:tcBorders>
              <w:top w:val="single" w:color="DDE2E7" w:sz="4"/>
              <w:left w:val="single" w:color="DDE2E7" w:sz="4"/>
              <w:bottom w:val="single" w:color="DDE2E7" w:sz="4"/>
              <w:right w:val="single" w:color="DDE2E7" w:sz="4"/>
            </w:tcBorders>
            <w:tcMar>
              <w:top w:type="dxa" w:w="60"/>
              <w:left w:type="dxa" w:w="90"/>
              <w:bottom w:type="dxa" w:w="60"/>
              <w:right w:type="dxa" w:w="90"/>
            </w:tcMar>
            <w:vAlign w:val="top"/>
          </w:tcPr>
          <w:p>
            <w:pPr>
              <w:spacing w:after="0" w:line="252"/>
            </w:pPr>
            <w:r>
              <w:rPr>
                <w:rFonts w:ascii="Calibri" w:cs="Calibri" w:eastAsia="Calibri" w:hAnsi="Calibri"/>
                <w:b w:val="false"/>
                <w:bCs w:val="false"/>
                <w:color w:val="0F1729"/>
                <w:sz w:val="19"/>
                <w:szCs w:val="19"/>
              </w:rPr>
              <w:t xml:space="preserve">lib/admin-session.ts</w:t>
            </w:r>
          </w:p>
        </w:tc>
        <w:tc>
          <w:tcPr>
            <w:tcW w:type="dxa" w:w="6747"/>
            <w:tcBorders>
              <w:top w:val="single" w:color="DDE2E7" w:sz="4"/>
              <w:left w:val="single" w:color="DDE2E7" w:sz="4"/>
              <w:bottom w:val="single" w:color="DDE2E7" w:sz="4"/>
              <w:right w:val="single" w:color="DDE2E7" w:sz="4"/>
            </w:tcBorders>
            <w:tcMar>
              <w:top w:type="dxa" w:w="60"/>
              <w:left w:type="dxa" w:w="90"/>
              <w:bottom w:type="dxa" w:w="60"/>
              <w:right w:type="dxa" w:w="90"/>
            </w:tcMar>
            <w:vAlign w:val="top"/>
          </w:tcPr>
          <w:p>
            <w:pPr>
              <w:spacing w:after="0" w:line="252"/>
            </w:pPr>
            <w:r>
              <w:rPr>
                <w:rFonts w:ascii="Calibri" w:cs="Calibri" w:eastAsia="Calibri" w:hAnsi="Calibri"/>
                <w:b w:val="false"/>
                <w:bCs w:val="false"/>
                <w:color w:val="0F1729"/>
                <w:sz w:val="19"/>
                <w:szCs w:val="19"/>
              </w:rPr>
              <w:t xml:space="preserve">Session, roles, permission matrix, prototype login.</w:t>
            </w:r>
          </w:p>
        </w:tc>
      </w:tr>
      <w:tr>
        <w:trPr>
          <w:cantSplit/>
          <w:tblHeader w:val="off"/>
        </w:trPr>
        <w:tc>
          <w:tcPr>
            <w:tcW w:type="dxa" w:w="2891"/>
            <w:tcBorders>
              <w:top w:val="single" w:color="DDE2E7" w:sz="4"/>
              <w:left w:val="single" w:color="DDE2E7" w:sz="4"/>
              <w:bottom w:val="single" w:color="DDE2E7" w:sz="4"/>
              <w:right w:val="single" w:color="DDE2E7" w:sz="4"/>
            </w:tcBorders>
            <w:tcMar>
              <w:top w:type="dxa" w:w="60"/>
              <w:left w:type="dxa" w:w="90"/>
              <w:bottom w:type="dxa" w:w="60"/>
              <w:right w:type="dxa" w:w="90"/>
            </w:tcMar>
            <w:vAlign w:val="top"/>
          </w:tcPr>
          <w:p>
            <w:pPr>
              <w:spacing w:after="0" w:line="252"/>
            </w:pPr>
            <w:r>
              <w:rPr>
                <w:rFonts w:ascii="Calibri" w:cs="Calibri" w:eastAsia="Calibri" w:hAnsi="Calibri"/>
                <w:b w:val="false"/>
                <w:bCs w:val="false"/>
                <w:color w:val="0F1729"/>
                <w:sz w:val="19"/>
                <w:szCs w:val="19"/>
              </w:rPr>
              <w:t xml:space="preserve">docs/*</w:t>
            </w:r>
          </w:p>
        </w:tc>
        <w:tc>
          <w:tcPr>
            <w:tcW w:type="dxa" w:w="6747"/>
            <w:tcBorders>
              <w:top w:val="single" w:color="DDE2E7" w:sz="4"/>
              <w:left w:val="single" w:color="DDE2E7" w:sz="4"/>
              <w:bottom w:val="single" w:color="DDE2E7" w:sz="4"/>
              <w:right w:val="single" w:color="DDE2E7" w:sz="4"/>
            </w:tcBorders>
            <w:tcMar>
              <w:top w:type="dxa" w:w="60"/>
              <w:left w:type="dxa" w:w="90"/>
              <w:bottom w:type="dxa" w:w="60"/>
              <w:right w:type="dxa" w:w="90"/>
            </w:tcMar>
            <w:vAlign w:val="top"/>
          </w:tcPr>
          <w:p>
            <w:pPr>
              <w:spacing w:after="0" w:line="252"/>
            </w:pPr>
            <w:r>
              <w:rPr>
                <w:rFonts w:ascii="Calibri" w:cs="Calibri" w:eastAsia="Calibri" w:hAnsi="Calibri"/>
                <w:b w:val="false"/>
                <w:bCs w:val="false"/>
                <w:color w:val="0F1729"/>
                <w:sz w:val="19"/>
                <w:szCs w:val="19"/>
              </w:rPr>
              <w:t xml:space="preserve">This document, the user guide and the screenshots they use.</w:t>
            </w:r>
          </w:p>
        </w:tc>
      </w:tr>
      <w:tr>
        <w:trPr>
          <w:cantSplit/>
          <w:tblHeader w:val="off"/>
        </w:trPr>
        <w:tc>
          <w:tcPr>
            <w:tcW w:type="dxa" w:w="2891"/>
            <w:tcBorders>
              <w:top w:val="single" w:color="DDE2E7" w:sz="4"/>
              <w:left w:val="single" w:color="DDE2E7" w:sz="4"/>
              <w:bottom w:val="single" w:color="DDE2E7" w:sz="4"/>
              <w:right w:val="single" w:color="DDE2E7" w:sz="4"/>
            </w:tcBorders>
            <w:tcMar>
              <w:top w:type="dxa" w:w="60"/>
              <w:left w:type="dxa" w:w="90"/>
              <w:bottom w:type="dxa" w:w="60"/>
              <w:right w:type="dxa" w:w="90"/>
            </w:tcMar>
            <w:vAlign w:val="top"/>
          </w:tcPr>
          <w:p>
            <w:pPr>
              <w:spacing w:after="0" w:line="252"/>
            </w:pPr>
            <w:r>
              <w:rPr>
                <w:rFonts w:ascii="Calibri" w:cs="Calibri" w:eastAsia="Calibri" w:hAnsi="Calibri"/>
                <w:b w:val="false"/>
                <w:bCs w:val="false"/>
                <w:color w:val="0F1729"/>
                <w:sz w:val="19"/>
                <w:szCs w:val="19"/>
              </w:rPr>
              <w:t xml:space="preserve">DESIGN.md, README.md</w:t>
            </w:r>
          </w:p>
        </w:tc>
        <w:tc>
          <w:tcPr>
            <w:tcW w:type="dxa" w:w="6747"/>
            <w:tcBorders>
              <w:top w:val="single" w:color="DDE2E7" w:sz="4"/>
              <w:left w:val="single" w:color="DDE2E7" w:sz="4"/>
              <w:bottom w:val="single" w:color="DDE2E7" w:sz="4"/>
              <w:right w:val="single" w:color="DDE2E7" w:sz="4"/>
            </w:tcBorders>
            <w:tcMar>
              <w:top w:type="dxa" w:w="60"/>
              <w:left w:type="dxa" w:w="90"/>
              <w:bottom w:type="dxa" w:w="60"/>
              <w:right w:type="dxa" w:w="90"/>
            </w:tcMar>
            <w:vAlign w:val="top"/>
          </w:tcPr>
          <w:p>
            <w:pPr>
              <w:spacing w:after="0" w:line="252"/>
            </w:pPr>
            <w:r>
              <w:rPr>
                <w:rFonts w:ascii="Calibri" w:cs="Calibri" w:eastAsia="Calibri" w:hAnsi="Calibri"/>
                <w:b w:val="false"/>
                <w:bCs w:val="false"/>
                <w:color w:val="0F1729"/>
                <w:sz w:val="19"/>
                <w:szCs w:val="19"/>
              </w:rPr>
              <w:t xml:space="preserve">Design system and run instructions.</w:t>
            </w:r>
          </w:p>
        </w:tc>
      </w:tr>
      <w:tr>
        <w:trPr>
          <w:cantSplit/>
          <w:tblHeader w:val="off"/>
        </w:trPr>
        <w:tc>
          <w:tcPr>
            <w:tcW w:type="dxa" w:w="2891"/>
            <w:tcBorders>
              <w:top w:val="single" w:color="DDE2E7" w:sz="4"/>
              <w:left w:val="single" w:color="DDE2E7" w:sz="4"/>
              <w:bottom w:val="single" w:color="DDE2E7" w:sz="4"/>
              <w:right w:val="single" w:color="DDE2E7" w:sz="4"/>
            </w:tcBorders>
            <w:tcMar>
              <w:top w:type="dxa" w:w="60"/>
              <w:left w:type="dxa" w:w="90"/>
              <w:bottom w:type="dxa" w:w="60"/>
              <w:right w:type="dxa" w:w="90"/>
            </w:tcMar>
            <w:vAlign w:val="top"/>
          </w:tcPr>
          <w:p>
            <w:pPr>
              <w:spacing w:after="0" w:line="252"/>
            </w:pPr>
            <w:r>
              <w:rPr>
                <w:rFonts w:ascii="Calibri" w:cs="Calibri" w:eastAsia="Calibri" w:hAnsi="Calibri"/>
                <w:b w:val="false"/>
                <w:bCs w:val="false"/>
                <w:color w:val="0F1729"/>
                <w:sz w:val="19"/>
                <w:szCs w:val="19"/>
              </w:rPr>
              <w:t xml:space="preserve">docs/diagrams/*</w:t>
            </w:r>
          </w:p>
        </w:tc>
        <w:tc>
          <w:tcPr>
            <w:tcW w:type="dxa" w:w="6747"/>
            <w:tcBorders>
              <w:top w:val="single" w:color="DDE2E7" w:sz="4"/>
              <w:left w:val="single" w:color="DDE2E7" w:sz="4"/>
              <w:bottom w:val="single" w:color="DDE2E7" w:sz="4"/>
              <w:right w:val="single" w:color="DDE2E7" w:sz="4"/>
            </w:tcBorders>
            <w:tcMar>
              <w:top w:type="dxa" w:w="60"/>
              <w:left w:type="dxa" w:w="90"/>
              <w:bottom w:type="dxa" w:w="60"/>
              <w:right w:type="dxa" w:w="90"/>
            </w:tcMar>
            <w:vAlign w:val="top"/>
          </w:tcPr>
          <w:p>
            <w:pPr>
              <w:spacing w:after="0" w:line="252"/>
            </w:pPr>
            <w:r>
              <w:rPr>
                <w:rFonts w:ascii="Calibri" w:cs="Calibri" w:eastAsia="Calibri" w:hAnsi="Calibri"/>
                <w:b w:val="false"/>
                <w:bCs w:val="false"/>
                <w:color w:val="0F1729"/>
                <w:sz w:val="19"/>
                <w:szCs w:val="19"/>
              </w:rPr>
              <w:t xml:space="preserve">Source pages for the architecture diagrams used in this document.</w:t>
            </w:r>
          </w:p>
        </w:tc>
      </w:tr>
    </w:tbl>
    <w:p>
      <w:pPr>
        <w:pStyle w:val="Heading2"/>
        <w:keepNext/>
        <w:spacing w:after="80" w:before="220"/>
      </w:pPr>
      <w:bookmarkStart w:name="_Toc28" w:id="28"/>
      <w:r>
        <w:rPr>
          <w:rFonts w:ascii="Calibri" w:cs="Calibri" w:eastAsia="Calibri" w:hAnsi="Calibri"/>
          <w:b/>
          <w:bCs/>
          <w:color w:val="283F8F"/>
          <w:sz w:val="25"/>
          <w:szCs w:val="25"/>
        </w:rPr>
        <w:t xml:space="preserve">B. Running the prototype</w:t>
      </w:r>
      <w:bookmarkEnd w:id="28"/>
    </w:p>
    <w:p>
      <w:pPr>
        <w:pStyle w:val="ListParagraph"/>
        <w:numPr>
          <w:ilvl w:val="0"/>
          <w:numId w:val="4"/>
        </w:numPr>
        <w:spacing w:after="50" w:line="264"/>
      </w:pPr>
      <w:r>
        <w:rPr>
          <w:rFonts w:ascii="Calibri" w:cs="Calibri" w:eastAsia="Calibri" w:hAnsi="Calibri"/>
          <w:color w:val="0F1729"/>
          <w:sz w:val="21"/>
          <w:szCs w:val="21"/>
        </w:rPr>
        <w:t xml:space="preserve">Install Node.js 20 or later. Clone the repository and run npm install.</w:t>
      </w:r>
    </w:p>
    <w:p>
      <w:pPr>
        <w:pStyle w:val="ListParagraph"/>
        <w:numPr>
          <w:ilvl w:val="0"/>
          <w:numId w:val="4"/>
        </w:numPr>
        <w:spacing w:after="50" w:line="264"/>
      </w:pPr>
      <w:r>
        <w:rPr>
          <w:rFonts w:ascii="Calibri" w:cs="Calibri" w:eastAsia="Calibri" w:hAnsi="Calibri"/>
          <w:color w:val="0F1729"/>
          <w:sz w:val="21"/>
          <w:szCs w:val="21"/>
        </w:rPr>
        <w:t xml:space="preserve">Run npm run dev and open http://localhost:3000. The operations platform is at /admin/login; the customer portal is at the root.</w:t>
      </w:r>
    </w:p>
    <w:p>
      <w:pPr>
        <w:pStyle w:val="ListParagraph"/>
        <w:numPr>
          <w:ilvl w:val="0"/>
          <w:numId w:val="4"/>
        </w:numPr>
        <w:spacing w:after="50" w:line="264"/>
      </w:pPr>
      <w:r>
        <w:rPr>
          <w:rFonts w:ascii="Calibri" w:cs="Calibri" w:eastAsia="Calibri" w:hAnsi="Calibri"/>
          <w:color w:val="0F1729"/>
          <w:sz w:val="21"/>
          <w:szCs w:val="21"/>
        </w:rPr>
        <w:t xml:space="preserve">Run npm run lint and npm run build before deploying. For Vercel, import the repository; no environment variables are required.</w:t>
      </w:r>
    </w:p>
    <w:p>
      <w:pPr>
        <w:pStyle w:val="ListParagraph"/>
        <w:numPr>
          <w:ilvl w:val="0"/>
          <w:numId w:val="4"/>
        </w:numPr>
        <w:spacing w:after="50" w:line="264"/>
      </w:pPr>
      <w:r>
        <w:rPr>
          <w:rFonts w:ascii="Calibri" w:cs="Calibri" w:eastAsia="Calibri" w:hAnsi="Calibri"/>
          <w:color w:val="0F1729"/>
          <w:sz w:val="21"/>
          <w:szCs w:val="21"/>
        </w:rPr>
        <w:t xml:space="preserve">To reset the demonstration data open Administration, Network and locations and press Reset demonstration data.</w:t>
      </w:r>
    </w:p>
    <w:p>
      <w:pPr>
        <w:pStyle w:val="Heading2"/>
        <w:keepNext/>
        <w:spacing w:after="80" w:before="220"/>
      </w:pPr>
      <w:bookmarkStart w:name="_Toc29" w:id="29"/>
      <w:r>
        <w:rPr>
          <w:rFonts w:ascii="Calibri" w:cs="Calibri" w:eastAsia="Calibri" w:hAnsi="Calibri"/>
          <w:b/>
          <w:bCs/>
          <w:color w:val="283F8F"/>
          <w:sz w:val="25"/>
          <w:szCs w:val="25"/>
        </w:rPr>
        <w:t xml:space="preserve">C. Acceptance criteria of the SRS and where the prototype shows them</w:t>
      </w:r>
      <w:bookmarkEnd w:id="29"/>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8"/>
        <w:gridCol w:w="5590"/>
      </w:tblGrid>
      <w:tr>
        <w:trPr>
          <w:cantSplit/>
          <w:tblHeader/>
        </w:trPr>
        <w:tc>
          <w:tcPr>
            <w:tcW w:type="dxa" w:w="4048"/>
            <w:tcBorders>
              <w:top w:val="single" w:color="DDE2E7" w:sz="4"/>
              <w:left w:val="single" w:color="DDE2E7" w:sz="4"/>
              <w:bottom w:val="single" w:color="DDE2E7" w:sz="4"/>
              <w:right w:val="single" w:color="DDE2E7" w:sz="4"/>
            </w:tcBorders>
            <w:shd w:fill="F4F6F8" w:color="auto" w:val="clear"/>
            <w:tcMar>
              <w:top w:type="dxa" w:w="60"/>
              <w:left w:type="dxa" w:w="90"/>
              <w:bottom w:type="dxa" w:w="60"/>
              <w:right w:type="dxa" w:w="90"/>
            </w:tcMar>
            <w:vAlign w:val="top"/>
          </w:tcPr>
          <w:p>
            <w:pPr>
              <w:spacing w:after="0" w:line="252"/>
            </w:pPr>
            <w:r>
              <w:rPr>
                <w:rFonts w:ascii="Calibri" w:cs="Calibri" w:eastAsia="Calibri" w:hAnsi="Calibri"/>
                <w:b/>
                <w:bCs/>
                <w:color w:val="5B6576"/>
                <w:sz w:val="19"/>
                <w:szCs w:val="19"/>
              </w:rPr>
              <w:t xml:space="preserve">Criterion</w:t>
            </w:r>
          </w:p>
        </w:tc>
        <w:tc>
          <w:tcPr>
            <w:tcW w:type="dxa" w:w="5590"/>
            <w:tcBorders>
              <w:top w:val="single" w:color="DDE2E7" w:sz="4"/>
              <w:left w:val="single" w:color="DDE2E7" w:sz="4"/>
              <w:bottom w:val="single" w:color="DDE2E7" w:sz="4"/>
              <w:right w:val="single" w:color="DDE2E7" w:sz="4"/>
            </w:tcBorders>
            <w:shd w:fill="F4F6F8" w:color="auto" w:val="clear"/>
            <w:tcMar>
              <w:top w:type="dxa" w:w="60"/>
              <w:left w:type="dxa" w:w="90"/>
              <w:bottom w:type="dxa" w:w="60"/>
              <w:right w:type="dxa" w:w="90"/>
            </w:tcMar>
            <w:vAlign w:val="top"/>
          </w:tcPr>
          <w:p>
            <w:pPr>
              <w:spacing w:after="0" w:line="252"/>
            </w:pPr>
            <w:r>
              <w:rPr>
                <w:rFonts w:ascii="Calibri" w:cs="Calibri" w:eastAsia="Calibri" w:hAnsi="Calibri"/>
                <w:b/>
                <w:bCs/>
                <w:color w:val="5B6576"/>
                <w:sz w:val="19"/>
                <w:szCs w:val="19"/>
              </w:rPr>
              <w:t xml:space="preserve">Where to see it</w:t>
            </w:r>
          </w:p>
        </w:tc>
      </w:tr>
      <w:tr>
        <w:trPr>
          <w:cantSplit/>
          <w:tblHeader w:val="off"/>
        </w:trPr>
        <w:tc>
          <w:tcPr>
            <w:tcW w:type="dxa" w:w="4048"/>
            <w:tcBorders>
              <w:top w:val="single" w:color="DDE2E7" w:sz="4"/>
              <w:left w:val="single" w:color="DDE2E7" w:sz="4"/>
              <w:bottom w:val="single" w:color="DDE2E7" w:sz="4"/>
              <w:right w:val="single" w:color="DDE2E7" w:sz="4"/>
            </w:tcBorders>
            <w:tcMar>
              <w:top w:type="dxa" w:w="60"/>
              <w:left w:type="dxa" w:w="90"/>
              <w:bottom w:type="dxa" w:w="60"/>
              <w:right w:type="dxa" w:w="90"/>
            </w:tcMar>
            <w:vAlign w:val="top"/>
          </w:tcPr>
          <w:p>
            <w:pPr>
              <w:spacing w:after="0" w:line="252"/>
            </w:pPr>
            <w:r>
              <w:rPr>
                <w:rFonts w:ascii="Calibri" w:cs="Calibri" w:eastAsia="Calibri" w:hAnsi="Calibri"/>
                <w:b w:val="false"/>
                <w:bCs w:val="false"/>
                <w:color w:val="0F1729"/>
                <w:sz w:val="19"/>
                <w:szCs w:val="19"/>
              </w:rPr>
              <w:t xml:space="preserve">1. Concurrent operations without violating consistency</w:t>
            </w:r>
          </w:p>
        </w:tc>
        <w:tc>
          <w:tcPr>
            <w:tcW w:type="dxa" w:w="5590"/>
            <w:tcBorders>
              <w:top w:val="single" w:color="DDE2E7" w:sz="4"/>
              <w:left w:val="single" w:color="DDE2E7" w:sz="4"/>
              <w:bottom w:val="single" w:color="DDE2E7" w:sz="4"/>
              <w:right w:val="single" w:color="DDE2E7" w:sz="4"/>
            </w:tcBorders>
            <w:tcMar>
              <w:top w:type="dxa" w:w="60"/>
              <w:left w:type="dxa" w:w="90"/>
              <w:bottom w:type="dxa" w:w="60"/>
              <w:right w:type="dxa" w:w="90"/>
            </w:tcMar>
            <w:vAlign w:val="top"/>
          </w:tcPr>
          <w:p>
            <w:pPr>
              <w:spacing w:after="0" w:line="252"/>
            </w:pPr>
            <w:r>
              <w:rPr>
                <w:rFonts w:ascii="Calibri" w:cs="Calibri" w:eastAsia="Calibri" w:hAnsi="Calibri"/>
                <w:b w:val="false"/>
                <w:bCs w:val="false"/>
                <w:color w:val="0F1729"/>
                <w:sz w:val="19"/>
                <w:szCs w:val="19"/>
              </w:rPr>
              <w:t xml:space="preserve">Open two browser tabs; every commit in one appears in the other; stale-version edits are refused.</w:t>
            </w:r>
          </w:p>
        </w:tc>
      </w:tr>
      <w:tr>
        <w:trPr>
          <w:cantSplit/>
          <w:tblHeader w:val="off"/>
        </w:trPr>
        <w:tc>
          <w:tcPr>
            <w:tcW w:type="dxa" w:w="4048"/>
            <w:tcBorders>
              <w:top w:val="single" w:color="DDE2E7" w:sz="4"/>
              <w:left w:val="single" w:color="DDE2E7" w:sz="4"/>
              <w:bottom w:val="single" w:color="DDE2E7" w:sz="4"/>
              <w:right w:val="single" w:color="DDE2E7" w:sz="4"/>
            </w:tcBorders>
            <w:tcMar>
              <w:top w:type="dxa" w:w="60"/>
              <w:left w:type="dxa" w:w="90"/>
              <w:bottom w:type="dxa" w:w="60"/>
              <w:right w:type="dxa" w:w="90"/>
            </w:tcMar>
            <w:vAlign w:val="top"/>
          </w:tcPr>
          <w:p>
            <w:pPr>
              <w:spacing w:after="0" w:line="252"/>
            </w:pPr>
            <w:r>
              <w:rPr>
                <w:rFonts w:ascii="Calibri" w:cs="Calibri" w:eastAsia="Calibri" w:hAnsi="Calibri"/>
                <w:b w:val="false"/>
                <w:bCs w:val="false"/>
                <w:color w:val="0F1729"/>
                <w:sz w:val="19"/>
                <w:szCs w:val="19"/>
              </w:rPr>
              <w:t xml:space="preserve">2. Duplicate requests cannot create duplicate movements</w:t>
            </w:r>
          </w:p>
        </w:tc>
        <w:tc>
          <w:tcPr>
            <w:tcW w:type="dxa" w:w="5590"/>
            <w:tcBorders>
              <w:top w:val="single" w:color="DDE2E7" w:sz="4"/>
              <w:left w:val="single" w:color="DDE2E7" w:sz="4"/>
              <w:bottom w:val="single" w:color="DDE2E7" w:sz="4"/>
              <w:right w:val="single" w:color="DDE2E7" w:sz="4"/>
            </w:tcBorders>
            <w:tcMar>
              <w:top w:type="dxa" w:w="60"/>
              <w:left w:type="dxa" w:w="90"/>
              <w:bottom w:type="dxa" w:w="60"/>
              <w:right w:type="dxa" w:w="90"/>
            </w:tcMar>
            <w:vAlign w:val="top"/>
          </w:tcPr>
          <w:p>
            <w:pPr>
              <w:spacing w:after="0" w:line="252"/>
            </w:pPr>
            <w:r>
              <w:rPr>
                <w:rFonts w:ascii="Calibri" w:cs="Calibri" w:eastAsia="Calibri" w:hAnsi="Calibri"/>
                <w:b w:val="false"/>
                <w:bCs w:val="false"/>
                <w:color w:val="0F1729"/>
                <w:sz w:val="19"/>
                <w:szCs w:val="19"/>
              </w:rPr>
              <w:t xml:space="preserve">Submit a pick, receipt or gate-out twice; the second returns the first result. Sync and integrations shows replayed queue items.</w:t>
            </w:r>
          </w:p>
        </w:tc>
      </w:tr>
      <w:tr>
        <w:trPr>
          <w:cantSplit/>
          <w:tblHeader w:val="off"/>
        </w:trPr>
        <w:tc>
          <w:tcPr>
            <w:tcW w:type="dxa" w:w="4048"/>
            <w:tcBorders>
              <w:top w:val="single" w:color="DDE2E7" w:sz="4"/>
              <w:left w:val="single" w:color="DDE2E7" w:sz="4"/>
              <w:bottom w:val="single" w:color="DDE2E7" w:sz="4"/>
              <w:right w:val="single" w:color="DDE2E7" w:sz="4"/>
            </w:tcBorders>
            <w:tcMar>
              <w:top w:type="dxa" w:w="60"/>
              <w:left w:type="dxa" w:w="90"/>
              <w:bottom w:type="dxa" w:w="60"/>
              <w:right w:type="dxa" w:w="90"/>
            </w:tcMar>
            <w:vAlign w:val="top"/>
          </w:tcPr>
          <w:p>
            <w:pPr>
              <w:spacing w:after="0" w:line="252"/>
            </w:pPr>
            <w:r>
              <w:rPr>
                <w:rFonts w:ascii="Calibri" w:cs="Calibri" w:eastAsia="Calibri" w:hAnsi="Calibri"/>
                <w:b w:val="false"/>
                <w:bCs w:val="false"/>
                <w:color w:val="0F1729"/>
                <w:sz w:val="19"/>
                <w:szCs w:val="19"/>
              </w:rPr>
              <w:t xml:space="preserve">3. Every cargo movement traceable</w:t>
            </w:r>
          </w:p>
        </w:tc>
        <w:tc>
          <w:tcPr>
            <w:tcW w:type="dxa" w:w="5590"/>
            <w:tcBorders>
              <w:top w:val="single" w:color="DDE2E7" w:sz="4"/>
              <w:left w:val="single" w:color="DDE2E7" w:sz="4"/>
              <w:bottom w:val="single" w:color="DDE2E7" w:sz="4"/>
              <w:right w:val="single" w:color="DDE2E7" w:sz="4"/>
            </w:tcBorders>
            <w:tcMar>
              <w:top w:type="dxa" w:w="60"/>
              <w:left w:type="dxa" w:w="90"/>
              <w:bottom w:type="dxa" w:w="60"/>
              <w:right w:type="dxa" w:w="90"/>
            </w:tcMar>
            <w:vAlign w:val="top"/>
          </w:tcPr>
          <w:p>
            <w:pPr>
              <w:spacing w:after="0" w:line="252"/>
            </w:pPr>
            <w:r>
              <w:rPr>
                <w:rFonts w:ascii="Calibri" w:cs="Calibri" w:eastAsia="Calibri" w:hAnsi="Calibri"/>
                <w:b w:val="false"/>
                <w:bCs w:val="false"/>
                <w:color w:val="0F1729"/>
                <w:sz w:val="19"/>
                <w:szCs w:val="19"/>
              </w:rPr>
              <w:t xml:space="preserve">Audit log, Trace a container; History tab on any container.</w:t>
            </w:r>
          </w:p>
        </w:tc>
      </w:tr>
      <w:tr>
        <w:trPr>
          <w:cantSplit/>
          <w:tblHeader w:val="off"/>
        </w:trPr>
        <w:tc>
          <w:tcPr>
            <w:tcW w:type="dxa" w:w="4048"/>
            <w:tcBorders>
              <w:top w:val="single" w:color="DDE2E7" w:sz="4"/>
              <w:left w:val="single" w:color="DDE2E7" w:sz="4"/>
              <w:bottom w:val="single" w:color="DDE2E7" w:sz="4"/>
              <w:right w:val="single" w:color="DDE2E7" w:sz="4"/>
            </w:tcBorders>
            <w:tcMar>
              <w:top w:type="dxa" w:w="60"/>
              <w:left w:type="dxa" w:w="90"/>
              <w:bottom w:type="dxa" w:w="60"/>
              <w:right w:type="dxa" w:w="90"/>
            </w:tcMar>
            <w:vAlign w:val="top"/>
          </w:tcPr>
          <w:p>
            <w:pPr>
              <w:spacing w:after="0" w:line="252"/>
            </w:pPr>
            <w:r>
              <w:rPr>
                <w:rFonts w:ascii="Calibri" w:cs="Calibri" w:eastAsia="Calibri" w:hAnsi="Calibri"/>
                <w:b w:val="false"/>
                <w:bCs w:val="false"/>
                <w:color w:val="0F1729"/>
                <w:sz w:val="19"/>
                <w:szCs w:val="19"/>
              </w:rPr>
              <w:t xml:space="preserve">4. Loading and unloading update inventory and custody</w:t>
            </w:r>
          </w:p>
        </w:tc>
        <w:tc>
          <w:tcPr>
            <w:tcW w:type="dxa" w:w="5590"/>
            <w:tcBorders>
              <w:top w:val="single" w:color="DDE2E7" w:sz="4"/>
              <w:left w:val="single" w:color="DDE2E7" w:sz="4"/>
              <w:bottom w:val="single" w:color="DDE2E7" w:sz="4"/>
              <w:right w:val="single" w:color="DDE2E7" w:sz="4"/>
            </w:tcBorders>
            <w:tcMar>
              <w:top w:type="dxa" w:w="60"/>
              <w:left w:type="dxa" w:w="90"/>
              <w:bottom w:type="dxa" w:w="60"/>
              <w:right w:type="dxa" w:w="90"/>
            </w:tcMar>
            <w:vAlign w:val="top"/>
          </w:tcPr>
          <w:p>
            <w:pPr>
              <w:spacing w:after="0" w:line="252"/>
            </w:pPr>
            <w:r>
              <w:rPr>
                <w:rFonts w:ascii="Calibri" w:cs="Calibri" w:eastAsia="Calibri" w:hAnsi="Calibri"/>
                <w:b w:val="false"/>
                <w:bCs w:val="false"/>
                <w:color w:val="0F1729"/>
                <w:sz w:val="19"/>
                <w:szCs w:val="19"/>
              </w:rPr>
              <w:t xml:space="preserve">Vessel call record: discharge and load; container record: custody line.</w:t>
            </w:r>
          </w:p>
        </w:tc>
      </w:tr>
      <w:tr>
        <w:trPr>
          <w:cantSplit/>
          <w:tblHeader w:val="off"/>
        </w:trPr>
        <w:tc>
          <w:tcPr>
            <w:tcW w:type="dxa" w:w="4048"/>
            <w:tcBorders>
              <w:top w:val="single" w:color="DDE2E7" w:sz="4"/>
              <w:left w:val="single" w:color="DDE2E7" w:sz="4"/>
              <w:bottom w:val="single" w:color="DDE2E7" w:sz="4"/>
              <w:right w:val="single" w:color="DDE2E7" w:sz="4"/>
            </w:tcBorders>
            <w:tcMar>
              <w:top w:type="dxa" w:w="60"/>
              <w:left w:type="dxa" w:w="90"/>
              <w:bottom w:type="dxa" w:w="60"/>
              <w:right w:type="dxa" w:w="90"/>
            </w:tcMar>
            <w:vAlign w:val="top"/>
          </w:tcPr>
          <w:p>
            <w:pPr>
              <w:spacing w:after="0" w:line="252"/>
            </w:pPr>
            <w:r>
              <w:rPr>
                <w:rFonts w:ascii="Calibri" w:cs="Calibri" w:eastAsia="Calibri" w:hAnsi="Calibri"/>
                <w:b w:val="false"/>
                <w:bCs w:val="false"/>
                <w:color w:val="0F1729"/>
                <w:sz w:val="19"/>
                <w:szCs w:val="19"/>
              </w:rPr>
              <w:t xml:space="preserve">5. Inventory cannot be reserved beyond available</w:t>
            </w:r>
          </w:p>
        </w:tc>
        <w:tc>
          <w:tcPr>
            <w:tcW w:type="dxa" w:w="5590"/>
            <w:tcBorders>
              <w:top w:val="single" w:color="DDE2E7" w:sz="4"/>
              <w:left w:val="single" w:color="DDE2E7" w:sz="4"/>
              <w:bottom w:val="single" w:color="DDE2E7" w:sz="4"/>
              <w:right w:val="single" w:color="DDE2E7" w:sz="4"/>
            </w:tcBorders>
            <w:tcMar>
              <w:top w:type="dxa" w:w="60"/>
              <w:left w:type="dxa" w:w="90"/>
              <w:bottom w:type="dxa" w:w="60"/>
              <w:right w:type="dxa" w:w="90"/>
            </w:tcMar>
            <w:vAlign w:val="top"/>
          </w:tcPr>
          <w:p>
            <w:pPr>
              <w:spacing w:after="0" w:line="252"/>
            </w:pPr>
            <w:r>
              <w:rPr>
                <w:rFonts w:ascii="Calibri" w:cs="Calibri" w:eastAsia="Calibri" w:hAnsi="Calibri"/>
                <w:b w:val="false"/>
                <w:bCs w:val="false"/>
                <w:color w:val="0F1729"/>
                <w:sz w:val="19"/>
                <w:szCs w:val="19"/>
              </w:rPr>
              <w:t xml:space="preserve">Warehouse orders: allocate an outbound order larger than stock.</w:t>
            </w:r>
          </w:p>
        </w:tc>
      </w:tr>
      <w:tr>
        <w:trPr>
          <w:cantSplit/>
          <w:tblHeader w:val="off"/>
        </w:trPr>
        <w:tc>
          <w:tcPr>
            <w:tcW w:type="dxa" w:w="4048"/>
            <w:tcBorders>
              <w:top w:val="single" w:color="DDE2E7" w:sz="4"/>
              <w:left w:val="single" w:color="DDE2E7" w:sz="4"/>
              <w:bottom w:val="single" w:color="DDE2E7" w:sz="4"/>
              <w:right w:val="single" w:color="DDE2E7" w:sz="4"/>
            </w:tcBorders>
            <w:tcMar>
              <w:top w:type="dxa" w:w="60"/>
              <w:left w:type="dxa" w:w="90"/>
              <w:bottom w:type="dxa" w:w="60"/>
              <w:right w:type="dxa" w:w="90"/>
            </w:tcMar>
            <w:vAlign w:val="top"/>
          </w:tcPr>
          <w:p>
            <w:pPr>
              <w:spacing w:after="0" w:line="252"/>
            </w:pPr>
            <w:r>
              <w:rPr>
                <w:rFonts w:ascii="Calibri" w:cs="Calibri" w:eastAsia="Calibri" w:hAnsi="Calibri"/>
                <w:b w:val="false"/>
                <w:bCs w:val="false"/>
                <w:color w:val="0F1729"/>
                <w:sz w:val="19"/>
                <w:szCs w:val="19"/>
              </w:rPr>
              <w:t xml:space="preserve">6. Historical changes cannot be silently overwritten</w:t>
            </w:r>
          </w:p>
        </w:tc>
        <w:tc>
          <w:tcPr>
            <w:tcW w:type="dxa" w:w="5590"/>
            <w:tcBorders>
              <w:top w:val="single" w:color="DDE2E7" w:sz="4"/>
              <w:left w:val="single" w:color="DDE2E7" w:sz="4"/>
              <w:bottom w:val="single" w:color="DDE2E7" w:sz="4"/>
              <w:right w:val="single" w:color="DDE2E7" w:sz="4"/>
            </w:tcBorders>
            <w:tcMar>
              <w:top w:type="dxa" w:w="60"/>
              <w:left w:type="dxa" w:w="90"/>
              <w:bottom w:type="dxa" w:w="60"/>
              <w:right w:type="dxa" w:w="90"/>
            </w:tcMar>
            <w:vAlign w:val="top"/>
          </w:tcPr>
          <w:p>
            <w:pPr>
              <w:spacing w:after="0" w:line="252"/>
            </w:pPr>
            <w:r>
              <w:rPr>
                <w:rFonts w:ascii="Calibri" w:cs="Calibri" w:eastAsia="Calibri" w:hAnsi="Calibri"/>
                <w:b w:val="false"/>
                <w:bCs w:val="false"/>
                <w:color w:val="0F1729"/>
                <w:sz w:val="19"/>
                <w:szCs w:val="19"/>
              </w:rPr>
              <w:t xml:space="preserve">Inventory, Movement ledger: reversals; Documents: versions.</w:t>
            </w:r>
          </w:p>
        </w:tc>
      </w:tr>
      <w:tr>
        <w:trPr>
          <w:cantSplit/>
          <w:tblHeader w:val="off"/>
        </w:trPr>
        <w:tc>
          <w:tcPr>
            <w:tcW w:type="dxa" w:w="4048"/>
            <w:tcBorders>
              <w:top w:val="single" w:color="DDE2E7" w:sz="4"/>
              <w:left w:val="single" w:color="DDE2E7" w:sz="4"/>
              <w:bottom w:val="single" w:color="DDE2E7" w:sz="4"/>
              <w:right w:val="single" w:color="DDE2E7" w:sz="4"/>
            </w:tcBorders>
            <w:tcMar>
              <w:top w:type="dxa" w:w="60"/>
              <w:left w:type="dxa" w:w="90"/>
              <w:bottom w:type="dxa" w:w="60"/>
              <w:right w:type="dxa" w:w="90"/>
            </w:tcMar>
            <w:vAlign w:val="top"/>
          </w:tcPr>
          <w:p>
            <w:pPr>
              <w:spacing w:after="0" w:line="252"/>
            </w:pPr>
            <w:r>
              <w:rPr>
                <w:rFonts w:ascii="Calibri" w:cs="Calibri" w:eastAsia="Calibri" w:hAnsi="Calibri"/>
                <w:b w:val="false"/>
                <w:bCs w:val="false"/>
                <w:color w:val="0F1729"/>
                <w:sz w:val="19"/>
                <w:szCs w:val="19"/>
              </w:rPr>
              <w:t xml:space="preserve">7. Offline operations synchronise with validation</w:t>
            </w:r>
          </w:p>
        </w:tc>
        <w:tc>
          <w:tcPr>
            <w:tcW w:type="dxa" w:w="5590"/>
            <w:tcBorders>
              <w:top w:val="single" w:color="DDE2E7" w:sz="4"/>
              <w:left w:val="single" w:color="DDE2E7" w:sz="4"/>
              <w:bottom w:val="single" w:color="DDE2E7" w:sz="4"/>
              <w:right w:val="single" w:color="DDE2E7" w:sz="4"/>
            </w:tcBorders>
            <w:tcMar>
              <w:top w:type="dxa" w:w="60"/>
              <w:left w:type="dxa" w:w="90"/>
              <w:bottom w:type="dxa" w:w="60"/>
              <w:right w:type="dxa" w:w="90"/>
            </w:tcMar>
            <w:vAlign w:val="top"/>
          </w:tcPr>
          <w:p>
            <w:pPr>
              <w:spacing w:after="0" w:line="252"/>
            </w:pPr>
            <w:r>
              <w:rPr>
                <w:rFonts w:ascii="Calibri" w:cs="Calibri" w:eastAsia="Calibri" w:hAnsi="Calibri"/>
                <w:b w:val="false"/>
                <w:bCs w:val="false"/>
                <w:color w:val="0F1729"/>
                <w:sz w:val="19"/>
                <w:szCs w:val="19"/>
              </w:rPr>
              <w:t xml:space="preserve">Gate, Work offline; Sync and integrations, Synchronise queue.</w:t>
            </w:r>
          </w:p>
        </w:tc>
      </w:tr>
      <w:tr>
        <w:trPr>
          <w:cantSplit/>
          <w:tblHeader w:val="off"/>
        </w:trPr>
        <w:tc>
          <w:tcPr>
            <w:tcW w:type="dxa" w:w="4048"/>
            <w:tcBorders>
              <w:top w:val="single" w:color="DDE2E7" w:sz="4"/>
              <w:left w:val="single" w:color="DDE2E7" w:sz="4"/>
              <w:bottom w:val="single" w:color="DDE2E7" w:sz="4"/>
              <w:right w:val="single" w:color="DDE2E7" w:sz="4"/>
            </w:tcBorders>
            <w:tcMar>
              <w:top w:type="dxa" w:w="60"/>
              <w:left w:type="dxa" w:w="90"/>
              <w:bottom w:type="dxa" w:w="60"/>
              <w:right w:type="dxa" w:w="90"/>
            </w:tcMar>
            <w:vAlign w:val="top"/>
          </w:tcPr>
          <w:p>
            <w:pPr>
              <w:spacing w:after="0" w:line="252"/>
            </w:pPr>
            <w:r>
              <w:rPr>
                <w:rFonts w:ascii="Calibri" w:cs="Calibri" w:eastAsia="Calibri" w:hAnsi="Calibri"/>
                <w:b w:val="false"/>
                <w:bCs w:val="false"/>
                <w:color w:val="0F1729"/>
                <w:sz w:val="19"/>
                <w:szCs w:val="19"/>
              </w:rPr>
              <w:t xml:space="preserve">8. Documents stored, versioned and linked</w:t>
            </w:r>
          </w:p>
        </w:tc>
        <w:tc>
          <w:tcPr>
            <w:tcW w:type="dxa" w:w="5590"/>
            <w:tcBorders>
              <w:top w:val="single" w:color="DDE2E7" w:sz="4"/>
              <w:left w:val="single" w:color="DDE2E7" w:sz="4"/>
              <w:bottom w:val="single" w:color="DDE2E7" w:sz="4"/>
              <w:right w:val="single" w:color="DDE2E7" w:sz="4"/>
            </w:tcBorders>
            <w:tcMar>
              <w:top w:type="dxa" w:w="60"/>
              <w:left w:type="dxa" w:w="90"/>
              <w:bottom w:type="dxa" w:w="60"/>
              <w:right w:type="dxa" w:w="90"/>
            </w:tcMar>
            <w:vAlign w:val="top"/>
          </w:tcPr>
          <w:p>
            <w:pPr>
              <w:spacing w:after="0" w:line="252"/>
            </w:pPr>
            <w:r>
              <w:rPr>
                <w:rFonts w:ascii="Calibri" w:cs="Calibri" w:eastAsia="Calibri" w:hAnsi="Calibri"/>
                <w:b w:val="false"/>
                <w:bCs w:val="false"/>
                <w:color w:val="0F1729"/>
                <w:sz w:val="19"/>
                <w:szCs w:val="19"/>
              </w:rPr>
              <w:t xml:space="preserve">Documents register; Upload on a container or call.</w:t>
            </w:r>
          </w:p>
        </w:tc>
      </w:tr>
      <w:tr>
        <w:trPr>
          <w:cantSplit/>
          <w:tblHeader w:val="off"/>
        </w:trPr>
        <w:tc>
          <w:tcPr>
            <w:tcW w:type="dxa" w:w="4048"/>
            <w:tcBorders>
              <w:top w:val="single" w:color="DDE2E7" w:sz="4"/>
              <w:left w:val="single" w:color="DDE2E7" w:sz="4"/>
              <w:bottom w:val="single" w:color="DDE2E7" w:sz="4"/>
              <w:right w:val="single" w:color="DDE2E7" w:sz="4"/>
            </w:tcBorders>
            <w:tcMar>
              <w:top w:type="dxa" w:w="60"/>
              <w:left w:type="dxa" w:w="90"/>
              <w:bottom w:type="dxa" w:w="60"/>
              <w:right w:type="dxa" w:w="90"/>
            </w:tcMar>
            <w:vAlign w:val="top"/>
          </w:tcPr>
          <w:p>
            <w:pPr>
              <w:spacing w:after="0" w:line="252"/>
            </w:pPr>
            <w:r>
              <w:rPr>
                <w:rFonts w:ascii="Calibri" w:cs="Calibri" w:eastAsia="Calibri" w:hAnsi="Calibri"/>
                <w:b w:val="false"/>
                <w:bCs w:val="false"/>
                <w:color w:val="0F1729"/>
                <w:sz w:val="19"/>
                <w:szCs w:val="19"/>
              </w:rPr>
              <w:t xml:space="preserve">9. Integrations handle duplicate, delayed and failed events</w:t>
            </w:r>
          </w:p>
        </w:tc>
        <w:tc>
          <w:tcPr>
            <w:tcW w:type="dxa" w:w="5590"/>
            <w:tcBorders>
              <w:top w:val="single" w:color="DDE2E7" w:sz="4"/>
              <w:left w:val="single" w:color="DDE2E7" w:sz="4"/>
              <w:bottom w:val="single" w:color="DDE2E7" w:sz="4"/>
              <w:right w:val="single" w:color="DDE2E7" w:sz="4"/>
            </w:tcBorders>
            <w:tcMar>
              <w:top w:type="dxa" w:w="60"/>
              <w:left w:type="dxa" w:w="90"/>
              <w:bottom w:type="dxa" w:w="60"/>
              <w:right w:type="dxa" w:w="90"/>
            </w:tcMar>
            <w:vAlign w:val="top"/>
          </w:tcPr>
          <w:p>
            <w:pPr>
              <w:spacing w:after="0" w:line="252"/>
            </w:pPr>
            <w:r>
              <w:rPr>
                <w:rFonts w:ascii="Calibri" w:cs="Calibri" w:eastAsia="Calibri" w:hAnsi="Calibri"/>
                <w:b w:val="false"/>
                <w:bCs w:val="false"/>
                <w:color w:val="0F1729"/>
                <w:sz w:val="19"/>
                <w:szCs w:val="19"/>
              </w:rPr>
              <w:t xml:space="preserve">Sync and integrations, message simulator.</w:t>
            </w:r>
          </w:p>
        </w:tc>
      </w:tr>
      <w:tr>
        <w:trPr>
          <w:cantSplit/>
          <w:tblHeader w:val="off"/>
        </w:trPr>
        <w:tc>
          <w:tcPr>
            <w:tcW w:type="dxa" w:w="4048"/>
            <w:tcBorders>
              <w:top w:val="single" w:color="DDE2E7" w:sz="4"/>
              <w:left w:val="single" w:color="DDE2E7" w:sz="4"/>
              <w:bottom w:val="single" w:color="DDE2E7" w:sz="4"/>
              <w:right w:val="single" w:color="DDE2E7" w:sz="4"/>
            </w:tcBorders>
            <w:tcMar>
              <w:top w:type="dxa" w:w="60"/>
              <w:left w:type="dxa" w:w="90"/>
              <w:bottom w:type="dxa" w:w="60"/>
              <w:right w:type="dxa" w:w="90"/>
            </w:tcMar>
            <w:vAlign w:val="top"/>
          </w:tcPr>
          <w:p>
            <w:pPr>
              <w:spacing w:after="0" w:line="252"/>
            </w:pPr>
            <w:r>
              <w:rPr>
                <w:rFonts w:ascii="Calibri" w:cs="Calibri" w:eastAsia="Calibri" w:hAnsi="Calibri"/>
                <w:b w:val="false"/>
                <w:bCs w:val="false"/>
                <w:color w:val="0F1729"/>
                <w:sz w:val="19"/>
                <w:szCs w:val="19"/>
              </w:rPr>
              <w:t xml:space="preserve">13. Permissions prevent cross-location operations</w:t>
            </w:r>
          </w:p>
        </w:tc>
        <w:tc>
          <w:tcPr>
            <w:tcW w:type="dxa" w:w="5590"/>
            <w:tcBorders>
              <w:top w:val="single" w:color="DDE2E7" w:sz="4"/>
              <w:left w:val="single" w:color="DDE2E7" w:sz="4"/>
              <w:bottom w:val="single" w:color="DDE2E7" w:sz="4"/>
              <w:right w:val="single" w:color="DDE2E7" w:sz="4"/>
            </w:tcBorders>
            <w:tcMar>
              <w:top w:type="dxa" w:w="60"/>
              <w:left w:type="dxa" w:w="90"/>
              <w:bottom w:type="dxa" w:w="60"/>
              <w:right w:type="dxa" w:w="90"/>
            </w:tcMar>
            <w:vAlign w:val="top"/>
          </w:tcPr>
          <w:p>
            <w:pPr>
              <w:spacing w:after="0" w:line="252"/>
            </w:pPr>
            <w:r>
              <w:rPr>
                <w:rFonts w:ascii="Calibri" w:cs="Calibri" w:eastAsia="Calibri" w:hAnsi="Calibri"/>
                <w:b w:val="false"/>
                <w:bCs w:val="false"/>
                <w:color w:val="0F1729"/>
                <w:sz w:val="19"/>
                <w:szCs w:val="19"/>
              </w:rPr>
              <w:t xml:space="preserve">Users and roles matrix; any operation outside a user’s locations is refused.</w:t>
            </w:r>
          </w:p>
        </w:tc>
      </w:tr>
      <w:tr>
        <w:trPr>
          <w:cantSplit/>
          <w:tblHeader w:val="off"/>
        </w:trPr>
        <w:tc>
          <w:tcPr>
            <w:tcW w:type="dxa" w:w="4048"/>
            <w:tcBorders>
              <w:top w:val="single" w:color="DDE2E7" w:sz="4"/>
              <w:left w:val="single" w:color="DDE2E7" w:sz="4"/>
              <w:bottom w:val="single" w:color="DDE2E7" w:sz="4"/>
              <w:right w:val="single" w:color="DDE2E7" w:sz="4"/>
            </w:tcBorders>
            <w:tcMar>
              <w:top w:type="dxa" w:w="60"/>
              <w:left w:type="dxa" w:w="90"/>
              <w:bottom w:type="dxa" w:w="60"/>
              <w:right w:type="dxa" w:w="90"/>
            </w:tcMar>
            <w:vAlign w:val="top"/>
          </w:tcPr>
          <w:p>
            <w:pPr>
              <w:spacing w:after="0" w:line="252"/>
            </w:pPr>
            <w:r>
              <w:rPr>
                <w:rFonts w:ascii="Calibri" w:cs="Calibri" w:eastAsia="Calibri" w:hAnsi="Calibri"/>
                <w:b w:val="false"/>
                <w:bCs w:val="false"/>
                <w:color w:val="0F1729"/>
                <w:sz w:val="19"/>
                <w:szCs w:val="19"/>
              </w:rPr>
              <w:t xml:space="preserve">14. Dashboards accurate and fresh</w:t>
            </w:r>
          </w:p>
        </w:tc>
        <w:tc>
          <w:tcPr>
            <w:tcW w:type="dxa" w:w="5590"/>
            <w:tcBorders>
              <w:top w:val="single" w:color="DDE2E7" w:sz="4"/>
              <w:left w:val="single" w:color="DDE2E7" w:sz="4"/>
              <w:bottom w:val="single" w:color="DDE2E7" w:sz="4"/>
              <w:right w:val="single" w:color="DDE2E7" w:sz="4"/>
            </w:tcBorders>
            <w:tcMar>
              <w:top w:type="dxa" w:w="60"/>
              <w:left w:type="dxa" w:w="90"/>
              <w:bottom w:type="dxa" w:w="60"/>
              <w:right w:type="dxa" w:w="90"/>
            </w:tcMar>
            <w:vAlign w:val="top"/>
          </w:tcPr>
          <w:p>
            <w:pPr>
              <w:spacing w:after="0" w:line="252"/>
            </w:pPr>
            <w:r>
              <w:rPr>
                <w:rFonts w:ascii="Calibri" w:cs="Calibri" w:eastAsia="Calibri" w:hAnsi="Calibri"/>
                <w:b w:val="false"/>
                <w:bCs w:val="false"/>
                <w:color w:val="0F1729"/>
                <w:sz w:val="19"/>
                <w:szCs w:val="19"/>
              </w:rPr>
              <w:t xml:space="preserve">Dashboard and Reports compute from the live record on every change.</w:t>
            </w:r>
          </w:p>
        </w:tc>
      </w:tr>
    </w:tbl>
    <w:sectPr>
      <w:headerReference w:type="default" r:id="rId6"/>
      <w:footerReference w:type="default" r:id="rId7"/>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spacing w:before="0"/>
    </w:pPr>
    <w:r>
      <w:rPr>
        <w:rFonts w:ascii="Calibri" w:cs="Calibri" w:eastAsia="Calibri" w:hAnsi="Calibri"/>
        <w:color w:val="8A93A3"/>
        <w:sz w:val="16"/>
        <w:szCs w:val="16"/>
      </w:rPr>
      <w:t xml:space="preserve">Prepared by Puneet Shukla · SSI Maya · Confidential, prepared for Gulftainer</w:t>
    </w:r>
    <w:r>
      <w:rPr>
        <w:rFonts w:ascii="Calibri" w:cs="Calibri" w:eastAsia="Calibri" w:hAnsi="Calibri"/>
        <w:color w:val="8A93A3"/>
        <w:sz w:val="16"/>
        <w:szCs w:val="16"/>
      </w:rPr>
      <w:t xml:space="preserve">	Page </w:t>
    </w:r>
    <w:r>
      <w:rPr>
        <w:rFonts w:ascii="Calibri" w:cs="Calibri" w:eastAsia="Calibri" w:hAnsi="Calibri"/>
        <w:color w:val="8A93A3"/>
        <w:sz w:val="16"/>
        <w:szCs w:val="16"/>
      </w:rPr>
      <w:fldChar w:fldCharType="begin"/>
    </w:r>
    <w:r>
      <w:rPr>
        <w:rFonts w:ascii="Calibri" w:cs="Calibri" w:eastAsia="Calibri" w:hAnsi="Calibri"/>
        <w:color w:val="8A93A3"/>
        <w:sz w:val="16"/>
        <w:szCs w:val="16"/>
      </w:rPr>
      <w:instrText xml:space="preserve">PAGE</w:instrText>
    </w:r>
    <w:r>
      <w:rPr>
        <w:rFonts w:ascii="Calibri" w:cs="Calibri" w:eastAsia="Calibri" w:hAnsi="Calibri"/>
        <w:color w:val="8A93A3"/>
        <w:sz w:val="16"/>
        <w:szCs w:val="16"/>
      </w:rPr>
      <w:fldChar w:fldCharType="separate"/>
    </w:r>
    <w:r>
      <w:rPr>
        <w:rFonts w:ascii="Calibri" w:cs="Calibri" w:eastAsia="Calibri" w:hAnsi="Calibri"/>
        <w:color w:val="8A93A3"/>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E2E7" w:sz="4" w:space="4"/>
      </w:pBdr>
      <w:spacing w:after="0"/>
    </w:pPr>
    <w:r>
      <w:rPr>
        <w:rFonts w:ascii="Calibri" w:cs="Calibri" w:eastAsia="Calibri" w:hAnsi="Calibri"/>
        <w:color w:val="8A93A3"/>
        <w:sz w:val="16"/>
        <w:szCs w:val="16"/>
      </w:rPr>
      <w:t xml:space="preserve">Gulftainer Operations platform · Project Documentation · Version 1.0 · 30 October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00" w:hanging="240"/>
      </w:pPr>
    </w:lvl>
  </w:abstractNum>
  <w:abstractNum w:abstractNumId="3" w15:restartNumberingAfterBreak="0">
    <w:multiLevelType w:val="hybridMultilevel"/>
    <w:lvl w:ilvl="0" w:tentative="1">
      <w:start w:val="1"/>
      <w:numFmt w:val="decimal"/>
      <w:lvlText w:val="%1."/>
      <w:lvlJc w:val="left"/>
      <w:pPr>
        <w:ind w:left="440" w:hanging="300"/>
      </w:pPr>
    </w:lvl>
  </w:abstractNum>
  <w:abstractNum w:abstractNumId="4" w15:restartNumberingAfterBreak="0">
    <w:multiLevelType w:val="hybridMultilevel"/>
    <w:lvl w:ilvl="0" w:tentative="1">
      <w:start w:val="1"/>
      <w:numFmt w:val="decimal"/>
      <w:lvlText w:val="%1."/>
      <w:lvlJc w:val="left"/>
      <w:pPr>
        <w:ind w:left="4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F1729"/>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10"/>
    </w:pPr>
  </w:style>
  <w:style w:type="paragraph" w:styleId="TOC3">
    <w:name w:val="toc 3"/>
    <w:basedOn w:val="Normal"/>
    <w:next w:val="Normal"/>
    <w:uiPriority w:val="39"/>
    <w:semiHidden/>
    <w:unhideWhenUsed/>
    <w:pPr>
      <w:spacing w:after="100"/>
      <w:ind w:left="420"/>
    </w:pPr>
  </w:style>
  <w:style w:type="paragraph" w:styleId="TOC4">
    <w:name w:val="toc 4"/>
    <w:basedOn w:val="Normal"/>
    <w:next w:val="Normal"/>
    <w:uiPriority w:val="39"/>
    <w:semiHidden/>
    <w:unhideWhenUsed/>
    <w:pPr>
      <w:spacing w:after="100"/>
      <w:ind w:left="630"/>
    </w:pPr>
  </w:style>
  <w:style w:type="paragraph" w:styleId="TOC5">
    <w:name w:val="toc 5"/>
    <w:basedOn w:val="Normal"/>
    <w:next w:val="Normal"/>
    <w:uiPriority w:val="39"/>
    <w:semiHidden/>
    <w:unhideWhenUsed/>
    <w:pPr>
      <w:spacing w:after="100"/>
      <w:ind w:left="840"/>
    </w:pPr>
  </w:style>
  <w:style w:type="paragraph" w:styleId="TOC6">
    <w:name w:val="toc 6"/>
    <w:basedOn w:val="Normal"/>
    <w:next w:val="Normal"/>
    <w:uiPriority w:val="39"/>
    <w:semiHidden/>
    <w:unhideWhenUsed/>
    <w:pPr>
      <w:spacing w:after="100"/>
      <w:ind w:left="1050"/>
    </w:pPr>
  </w:style>
  <w:style w:type="paragraph" w:styleId="TOC7">
    <w:name w:val="toc 7"/>
    <w:basedOn w:val="Normal"/>
    <w:next w:val="Normal"/>
    <w:uiPriority w:val="39"/>
    <w:semiHidden/>
    <w:unhideWhenUsed/>
    <w:pPr>
      <w:spacing w:after="100"/>
      <w:ind w:left="1260"/>
    </w:pPr>
  </w:style>
  <w:style w:type="paragraph" w:styleId="TOC8">
    <w:name w:val="toc 8"/>
    <w:basedOn w:val="Normal"/>
    <w:next w:val="Normal"/>
    <w:uiPriority w:val="39"/>
    <w:semiHidden/>
    <w:unhideWhenUsed/>
    <w:pPr>
      <w:spacing w:after="100"/>
      <w:ind w:left="1470"/>
    </w:pPr>
  </w:style>
  <w:style w:type="paragraph" w:styleId="TOC9">
    <w:name w:val="toc 9"/>
    <w:basedOn w:val="Normal"/>
    <w:next w:val="Normal"/>
    <w:uiPriority w:val="39"/>
    <w:semiHidden/>
    <w:unhideWhenUsed/>
    <w:pPr>
      <w:spacing w:after="100"/>
      <w:ind w:left="168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spacing w:after="120" w:before="280"/>
      <w:outlineLvl w:val="0"/>
    </w:pPr>
    <w:rPr>
      <w:rFonts w:ascii="Calibri" w:cs="Calibri" w:eastAsia="Calibri" w:hAnsi="Calibri"/>
      <w:b/>
      <w:bCs/>
      <w:color w:val="0F1729"/>
      <w:sz w:val="32"/>
      <w:szCs w:val="32"/>
    </w:rPr>
  </w:style>
  <w:style w:type="paragraph" w:styleId="Heading2">
    <w:name w:val="Heading 2"/>
    <w:basedOn w:val="Normal"/>
    <w:next w:val="Normal"/>
    <w:qFormat/>
    <w:pPr>
      <w:spacing w:after="80" w:before="220"/>
      <w:outlineLvl w:val="1"/>
    </w:pPr>
    <w:rPr>
      <w:rFonts w:ascii="Calibri" w:cs="Calibri" w:eastAsia="Calibri" w:hAnsi="Calibri"/>
      <w:b/>
      <w:bCs/>
      <w:color w:val="283F8F"/>
      <w:sz w:val="25"/>
      <w:szCs w:val="25"/>
    </w:rPr>
  </w:style>
  <w:style w:type="paragraph" w:styleId="Heading3">
    <w:name w:val="Heading 3"/>
    <w:basedOn w:val="Normal"/>
    <w:next w:val="Normal"/>
    <w:qFormat/>
    <w:pPr>
      <w:spacing w:after="60" w:before="160"/>
      <w:outlineLvl w:val="2"/>
    </w:pPr>
    <w:rPr>
      <w:rFonts w:ascii="Calibri" w:cs="Calibri" w:eastAsia="Calibri" w:hAnsi="Calibri"/>
      <w:b/>
      <w:bCs/>
      <w:color w:val="0F1729"/>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b723aff23f7fd13932b797c84aa8c623dcf64419.png"/><Relationship Id="rId10" Type="http://schemas.openxmlformats.org/officeDocument/2006/relationships/image" Target="media/d635d44b56680c7e70bac5c3ccf30cb68759e61e.png"/><Relationship Id="rId11" Type="http://schemas.openxmlformats.org/officeDocument/2006/relationships/image" Target="media/dedd21c3ae525768f5b4c799c17526bb77413711.png"/><Relationship Id="rId12" Type="http://schemas.openxmlformats.org/officeDocument/2006/relationships/image" Target="media/736b9ce7edb6bd0cb0a14dd81340837146b12ad1.png"/><Relationship Id="rId13" Type="http://schemas.openxmlformats.org/officeDocument/2006/relationships/image" Target="media/a92bc33d70bd3fbba6f8b672e5879f71841d3594.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Gulftainer Operations platform: Project Documentation</dc:title>
  <dc:creator>Puneet Shukla</dc:creator>
  <dc:description>Research, design and production architecture</dc:description>
  <cp:lastModifiedBy>Un-named</cp:lastModifiedBy>
  <cp:revision>1</cp:revision>
  <dcterms:created xsi:type="dcterms:W3CDTF">2026-10-30T08:29:59.556Z</dcterms:created>
  <dcterms:modified xsi:type="dcterms:W3CDTF">2026-10-30T08:29:59.557Z</dcterms:modified>
</cp:coreProperties>
</file>

<file path=docProps/custom.xml><?xml version="1.0" encoding="utf-8"?>
<Properties xmlns="http://schemas.openxmlformats.org/officeDocument/2006/custom-properties" xmlns:vt="http://schemas.openxmlformats.org/officeDocument/2006/docPropsVTypes"/>
</file>