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a1a2e"/>
          <w:sz w:val="48"/>
          <w:szCs w:val="48"/>
        </w:rPr>
        <w:t xml:space="preserve">PhD Research — Session Handoff</w:t>
      </w:r>
    </w:p>
    <w:p>
      <w:pPr>
        <w:spacing w:after="400" w:before="0"/>
        <w:jc w:val="center"/>
      </w:pPr>
      <w:r>
        <w:rPr>
          <w:color w:val="888888"/>
          <w:sz w:val="22"/>
          <w:szCs w:val="22"/>
        </w:rPr>
        <w:t xml:space="preserve">Avinash | August 2026 | Claude Project: IPFS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1. Project Overview — Three Parallel Tracks</w:t>
      </w:r>
    </w:p>
    <w:p>
      <w:pPr>
        <w:spacing w:after="80" w:before="80"/>
      </w:pPr>
      <w:r>
        <w:rPr>
          <w:sz w:val="22"/>
          <w:szCs w:val="22"/>
        </w:rPr>
        <w:t xml:space="preserve">Avinash is a PhD student and technical founder running three simultaneous tracks:</w:t>
      </w: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Track 1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PhD Research — 5-paper IoT security thesis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Track 2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Vikas Platform — 45-agent AI content ops for Tamil Nadu scheme outreach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Track 3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Elyts-EDGE — OOH advertising analytics, Bengaluru billboards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2. Five Works — PhD Thesis Arc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Thesis Title: </w:t>
      </w:r>
      <w:r>
        <w:rPr>
          <w:i/>
          <w:iCs/>
          <w:sz w:val="22"/>
          <w:szCs w:val="22"/>
        </w:rPr>
        <w:t xml:space="preserve">"Towards Trustworthy Autonomous Security in IoT Systems"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00"/>
        <w:gridCol w:w="1600"/>
      </w:tblGrid>
      <w:tr>
        <w:tc>
          <w:tcPr>
            <w:tcW w:type="dxa" w:w="1800"/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4200"/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 1</w:t>
            </w:r>
          </w:p>
        </w:tc>
        <w:tc>
          <w:tcPr>
            <w:tcW w:type="dxa" w:w="42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IPFS Healthcare IoT Storage Evaluation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Computer Networks Q1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 2</w:t>
            </w:r>
          </w:p>
        </w:tc>
        <w:tc>
          <w:tcPr>
            <w:tcW w:type="dxa" w:w="42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Secure MCP Architecture for IoT Agents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🔲 Starting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IEEE TDSC / TIFS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 3</w:t>
            </w:r>
          </w:p>
        </w:tc>
        <w:tc>
          <w:tcPr>
            <w:tcW w:type="dxa" w:w="42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AutoComply-IoMT — Per-Atom Compliance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🔧 Prototype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Computers &amp; Security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 4</w:t>
            </w:r>
          </w:p>
        </w:tc>
        <w:tc>
          <w:tcPr>
            <w:tcW w:type="dxa" w:w="42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Trusted Edge Intelligence for IoT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🔲 Not started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IEEE IoTJ / JSA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 5</w:t>
            </w:r>
          </w:p>
        </w:tc>
        <w:tc>
          <w:tcPr>
            <w:tcW w:type="dxa" w:w="42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Adaptive Trust Orchestration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🔲 Not started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TDSC / FGCS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Patent: File after Work 5. Protects end-to-end orchestration method spanning Works 2–5.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Thesis Layer Map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Trust Orchestration    →  Work 5  (Patent candidate)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Compliance/Incidents   →  Work 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Secure AI Infra        →  Work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Edge Intelligence      →  Work 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Storage Foundation     →  Work 1  ✅</w:t>
      </w:r>
    </w:p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3. Work 1 — IPFS (Active Blocker)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Conference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IEEE ICITEICS 2024 — Published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Journal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Computer Networks Q1 (Elsevier) — Major Revision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July 30, 2026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Area Editor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Dr. Michele Nitti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Manuscript ID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COMNET-D-858858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Critical Blocker Before Submitting</w:t>
      </w:r>
    </w:p>
    <w:p>
      <w:pPr>
        <w:spacing w:after="80" w:before="80"/>
      </w:pPr>
      <w:r>
        <w:rPr>
          <w:sz w:val="22"/>
          <w:szCs w:val="22"/>
        </w:rPr>
        <w:t xml:space="preserve">Row count discrepancy must be resolved first: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CSV data:    3,600 rows  (120 configs × 30 trials)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Paper claims: 4,320 rows (144 configs × 30 trials)</w:t>
      </w:r>
    </w:p>
    <w:p>
      <w:pPr>
        <w:spacing w:after="80" w:before="80"/>
      </w:pPr>
      <w:r>
        <w:rPr>
          <w:sz w:val="22"/>
          <w:szCs w:val="22"/>
        </w:rPr>
        <w:t xml:space="preserve">Resolve via Claude Code data audit on experiment_data/matrix_full_192.csv before inserting Kruskal-Wallis results into §5.1.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Locked Numerical Values (Do Not Change)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144 configs | 4,320 trials | 100% DHT | 35.8% aggregate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66.7% WAN | 176× | 1,763KB | 22.56s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Statistical Results Ready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H=444.64, p&lt;0.001 for network condition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H=1626.82, p&lt;0.001 for node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six pairwise Dunn comparisons significant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LaTeX sentence for §5.1 already generated — insert after resolving row discrepancy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Reviewer 1 Flag</w:t>
      </w:r>
    </w:p>
    <w:p>
      <w:pPr>
        <w:spacing w:after="80" w:before="80"/>
      </w:pPr>
      <w:r>
        <w:rPr>
          <w:sz w:val="22"/>
          <w:szCs w:val="22"/>
        </w:rPr>
        <w:t xml:space="preserve">Reviewer 1 comments reference Hyperledger Caliper and smart contracts — not present in this paper. Strategy: diplomatic rebuttal noting scope mismatch, do not engage the content.</w:t>
      </w:r>
    </w:p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4. Work 2 — Secure MCP Architecture (Starting Now)</w:t>
      </w:r>
    </w:p>
    <w:p>
      <w:pPr>
        <w:spacing w:after="80" w:before="80"/>
      </w:pPr>
      <w:r>
        <w:rPr>
          <w:sz w:val="22"/>
          <w:szCs w:val="22"/>
        </w:rPr>
        <w:t xml:space="preserve">This is the strongest novelty paper in the thesis. MCP security is underexplored. Vikas (45-agent production system) is the evaluation testbed.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4.1 Research Question</w:t>
      </w:r>
    </w:p>
    <w:p>
      <w:pPr>
        <w:spacing w:after="200" w:before="100"/>
      </w:pPr>
      <w:r>
        <w:rPr>
          <w:i/>
          <w:iCs/>
          <w:sz w:val="22"/>
          <w:szCs w:val="22"/>
        </w:rPr>
        <w:t xml:space="preserve">"How can a zero-trust security architecture for MCP-based multi-agent IoT systems prevent agent impersonation, prompt injection, memory tampering, and capability escalation?"</w:t>
      </w:r>
    </w:p>
    <w:p>
      <w:pPr>
        <w:pStyle w:val="Heading2"/>
        <w:spacing w:after="150" w:before="300"/>
      </w:pPr>
      <w:r>
        <w:t xml:space="preserve">4.2 Core Concepts to Master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MCP Protocol</w:t>
      </w:r>
    </w:p>
    <w:p>
      <w:pPr>
        <w:spacing w:after="80" w:before="80"/>
      </w:pPr>
      <w:r>
        <w:rPr>
          <w:sz w:val="22"/>
          <w:szCs w:val="22"/>
        </w:rPr>
        <w:t xml:space="preserve">Model Context Protocol (Anthropic, Nov 2024) — standardised interface between LLMs and external tools. Like USB-C for AI tools. Defines: tool schemas, agent-tool calls, result returns, context sharing.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Before MCP: N tools = N custom integrations (not scalable)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 MCP:  One protocol → any tool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Agentic Systems</w:t>
      </w:r>
    </w:p>
    <w:p>
      <w:pPr>
        <w:spacing w:after="80" w:before="80"/>
      </w:pPr>
      <w:r>
        <w:rPr>
          <w:sz w:val="22"/>
          <w:szCs w:val="22"/>
        </w:rPr>
        <w:t xml:space="preserve">Agent = LLM + memory + tools + planning loop (ReAct: Reason + Act). Multi-agent = specialised agents running in parallel/sequence, communicating results. Vikas is the real example.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Zero Trust Architecture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Every request must be: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Authenticated  (who are you?)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Authorised     (allowed to do THIS specific thing?)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Verified       (is this request legitimate right now?)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Authentication vs Authorisation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AuthN (Authentication)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WHO are you? Proven by: API key, JWT, certificate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AuthZ (Authorisation)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WHAT are you allowed to do? Enforced by: capability lists, policies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Capability-based AuthZ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Agent gets only minimum capabilities for its specific task — nothing else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Prompt Injection — Biggest Threat</w:t>
      </w:r>
    </w:p>
    <w:p>
      <w:pPr>
        <w:spacing w:after="80" w:before="80"/>
      </w:pPr>
      <w:r>
        <w:rPr>
          <w:sz w:val="22"/>
          <w:szCs w:val="22"/>
        </w:rPr>
        <w:t xml:space="preserve">Attacker embeds instructions inside data the agent will read. Agent follows injected instructions instead of original task.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Indirect injection (most dangerous in IoT):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Sensor data / incident logs contain hidden instructions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Agent reads data → executes attacker commands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Memory Integrity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In-context memory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Current conversation window → inject false context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External memory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Vector DB / SQL → cache poisoning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Tool memory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Cached tool results → poisoned results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Agent action history → falsify to bypass safety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STRIDE Threat Model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 — Spoofing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Fake agent impersonates legitimate agent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 — Tampering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Modify tool inputs/outputs in transit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 — Repudiation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Agent denies action (no audit log)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 — Info Disclosure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Agent leaks PHI through tool calls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 — Denial of Service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Flood agent, exhaust resources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E — Privilege Escalation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Agent gains more permissions than granted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IoT Attack Surface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MQTT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Pub/sub messaging — broker compromise, topic hijacking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HL7 FHIR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Healthcare data — malformed records, field injection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Modbus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Legacy industrial — no built-in auth, replay attacks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Sensor spoofing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Fake sensor data fed to agent pipeline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4.3 Five-Week Learning Path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MCP fundamentals → read modelcontextprotocol.io/docs → build minimal MCP server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Zero Trust + AuthN/AuthZ → read NIST SP 800-207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Prompt Injection → read OWASP LLM Top 10 (LLM01, LLM02)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Threat Modelling → apply STRIDE to MCP architecture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IoT Security → read NIST SP 800-213, MQTT security, device auth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4.4 Paper Search Strings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"Model Context Protocol" security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"MCP" "agent security" IoT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"zero trust" "multi-agent" LLM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"prompt injection" "agent architecture"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"agentic AI security" survey 2024 2025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"LLM tool use security"</w:t>
      </w:r>
    </w:p>
    <w:p>
      <w:pPr>
        <w:spacing w:after="80" w:before="80"/>
      </w:pPr>
      <w:r>
        <w:rPr>
          <w:sz w:val="22"/>
          <w:szCs w:val="22"/>
        </w:rPr>
        <w:t xml:space="preserve">Note: MCP is too new (2024) for many peer-reviewed venues. arxiv.org cs.CR is mandatory here.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4.5 Target Venues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IEEE TDSC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Transactions on Dependable and Secure Computing — primary target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IEEE TIFS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Transactions on Information Forensics and Security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Computers &amp; Security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Strong fit, faster turnaround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ACM TOPS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If formal security contribution is substantial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5. Work 3 — AutoComply-IoMT</w:t>
      </w:r>
    </w:p>
    <w:p>
      <w:pPr>
        <w:pStyle w:val="Heading2"/>
        <w:spacing w:after="150" w:before="300"/>
      </w:pPr>
      <w:r>
        <w:t xml:space="preserve">5.1 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Rejection reason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No experimental proof — NOT wrong direction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Prototype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Built on UAE IA controls (251 controls, 162 pairs)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needed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HIPAA §164.312 + CICIoMT2024 healthcare rerun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Correct and transferable — no rebuild needed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5.2 Three Novel Contributions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Per-atom HIPAA decomposition — first time done for any healthcare standard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NA-bias annotation finding — human annotators systematically over-label "Not Addressed"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Local NLI under HIPAA sovereignty — cloud APIs prohibited for PHI; local model is the only valid approach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5.3 Atomisation Protocol</w:t>
      </w:r>
    </w:p>
    <w:p>
      <w:pPr>
        <w:spacing w:after="80" w:before="80"/>
      </w:pPr>
      <w:r>
        <w:rPr>
          <w:sz w:val="22"/>
          <w:szCs w:val="22"/>
        </w:rPr>
        <w:t xml:space="preserve">Atom = smallest indivisible unit of obligation: one actor + one action + one object.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Five Splitting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1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Two verbs joined by "and" → split into two atoms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2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Two objects protected → split into two atoms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3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If/when conditions → keep attached to their atom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4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Definitions → never split, keep as one atom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5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Unless/except exceptions → split into separate atom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Atom Quality Checklist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Contains exactly one 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Contains exactly one object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Answerable Yes/No from incident record text alone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Removing it would leave a compliance gap undetected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Inter-Annotator Target</w:t>
      </w:r>
    </w:p>
    <w:p>
      <w:pPr>
        <w:spacing w:after="80" w:before="80"/>
      </w:pPr>
      <w:r>
        <w:rPr>
          <w:sz w:val="22"/>
          <w:szCs w:val="22"/>
        </w:rPr>
        <w:t xml:space="preserve">Two annotators atomise same 5 clauses independently. Target kappa &gt; 0.75 before proceeding. If kappa &lt; 0.75 — add clarifying sub-rule and re-annotate.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5.4 Execution Order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Download CICIoMT2024 → extract 18 attack types from Attack_info.csv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Atomise HIPAA §164.312 + ISO 27799 clauses 9-12 (~120 atoms target)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Write 50 human-authored IoMT incident records (2-3 per attack type)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Two-annotator kappa study — independent annotation then adjudicate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Swap UAE IA inputs → healthcare inputs, rerun pipeline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Compare: zero-shot NLI vs fine-tuned Llama-1B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5.5 Literature Gap Confirmed</w:t>
      </w:r>
    </w:p>
    <w:p>
      <w:pPr>
        <w:spacing w:after="80" w:before="80"/>
      </w:pPr>
      <w:r>
        <w:rPr>
          <w:sz w:val="22"/>
          <w:szCs w:val="22"/>
        </w:rPr>
        <w:t xml:space="preserve">Literature synthesis confirms exact gap at intersection of HIPAA compliance + NLP-based incident detection + IoMT environments. No paper has connected all four: HIPAA + NLI + IoMT incident records + local model.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5.6 Commercial Path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Moat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Local inference — competitors (Drata, Vanta) route through cloud APIs, prohibited for PHI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Compliance audit tool — upload incidents, get verdicts, download PDF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Continuous compliance monitor — integrate with SIEM, real-time dashboard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3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Multi-standard platform — HIPAA + SOC2 + GDPR + ISO 27799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Liability — verdicts must be framed as recommendations, not legal determinations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6. Current Blockers</w:t>
      </w: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42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2000"/>
            <w:shd w:fill="fff3f3" w:val="clear"/>
          </w:tcPr>
          <w:p>
            <w:r>
              <w:rPr>
                <w:sz w:val="20"/>
                <w:szCs w:val="20"/>
              </w:rPr>
              <w:t xml:space="preserve">Row count discrepancy</w:t>
            </w:r>
          </w:p>
        </w:tc>
        <w:tc>
          <w:tcPr>
            <w:tcW w:type="dxa" w:w="4200"/>
            <w:shd w:fill="fff3f3" w:val="clear"/>
          </w:tcPr>
          <w:p>
            <w:r>
              <w:rPr>
                <w:sz w:val="20"/>
                <w:szCs w:val="20"/>
              </w:rPr>
              <w:t xml:space="preserve">3,600 rows in CSV vs 4,320 claimed in paper — resolve before inserting stats</w:t>
            </w:r>
          </w:p>
        </w:tc>
        <w:tc>
          <w:tcPr>
            <w:tcW w:type="dxa" w:w="3000"/>
            <w:shd w:fill="fff3f3" w:val="clear"/>
          </w:tcPr>
          <w:p>
            <w:r>
              <w:rPr>
                <w:sz w:val="20"/>
                <w:szCs w:val="20"/>
              </w:rPr>
              <w:t xml:space="preserve">Work 1 — URGENT</w:t>
            </w:r>
          </w:p>
        </w:tc>
      </w:tr>
      <w:tr>
        <w:tc>
          <w:tcPr>
            <w:tcW w:type="dxa" w:w="2000"/>
            <w:shd w:fill="fff8f8" w:val="clear"/>
          </w:tcPr>
          <w:p>
            <w:r>
              <w:rPr>
                <w:sz w:val="20"/>
                <w:szCs w:val="20"/>
              </w:rPr>
              <w:t xml:space="preserve">No HIPAA atoms</w:t>
            </w:r>
          </w:p>
        </w:tc>
        <w:tc>
          <w:tcPr>
            <w:tcW w:type="dxa" w:w="4200"/>
            <w:shd w:fill="fff8f8" w:val="clear"/>
          </w:tcPr>
          <w:p>
            <w:r>
              <w:rPr>
                <w:sz w:val="20"/>
                <w:szCs w:val="20"/>
              </w:rPr>
              <w:t xml:space="preserve">HIPAA §164.312 not yet atomised — Work 3 cannot proceed</w:t>
            </w:r>
          </w:p>
        </w:tc>
        <w:tc>
          <w:tcPr>
            <w:tcW w:type="dxa" w:w="3000"/>
            <w:shd w:fill="fff8f8" w:val="clear"/>
          </w:tcPr>
          <w:p>
            <w:r>
              <w:rPr>
                <w:sz w:val="20"/>
                <w:szCs w:val="20"/>
              </w:rPr>
              <w:t xml:space="preserve">Work 3</w:t>
            </w:r>
          </w:p>
        </w:tc>
      </w:tr>
      <w:tr>
        <w:tc>
          <w:tcPr>
            <w:tcW w:type="dxa" w:w="2000"/>
            <w:shd w:fill="fff3f3" w:val="clear"/>
          </w:tcPr>
          <w:p>
            <w:r>
              <w:rPr>
                <w:sz w:val="20"/>
                <w:szCs w:val="20"/>
              </w:rPr>
              <w:t xml:space="preserve">No CICIoMT2024 data</w:t>
            </w:r>
          </w:p>
        </w:tc>
        <w:tc>
          <w:tcPr>
            <w:tcW w:type="dxa" w:w="4200"/>
            <w:shd w:fill="fff3f3" w:val="clear"/>
          </w:tcPr>
          <w:p>
            <w:r>
              <w:rPr>
                <w:sz w:val="20"/>
                <w:szCs w:val="20"/>
              </w:rPr>
              <w:t xml:space="preserve">Dataset not downloaded — healthcare rerun blocked</w:t>
            </w:r>
          </w:p>
        </w:tc>
        <w:tc>
          <w:tcPr>
            <w:tcW w:type="dxa" w:w="3000"/>
            <w:shd w:fill="fff3f3" w:val="clear"/>
          </w:tcPr>
          <w:p>
            <w:r>
              <w:rPr>
                <w:sz w:val="20"/>
                <w:szCs w:val="20"/>
              </w:rPr>
              <w:t xml:space="preserve">Work 3</w:t>
            </w:r>
          </w:p>
        </w:tc>
      </w:tr>
      <w:tr>
        <w:tc>
          <w:tcPr>
            <w:tcW w:type="dxa" w:w="2000"/>
            <w:shd w:fill="fff8f8" w:val="clear"/>
          </w:tcPr>
          <w:p>
            <w:r>
              <w:rPr>
                <w:sz w:val="20"/>
                <w:szCs w:val="20"/>
              </w:rPr>
              <w:t xml:space="preserve">Work 2 not started</w:t>
            </w:r>
          </w:p>
        </w:tc>
        <w:tc>
          <w:tcPr>
            <w:tcW w:type="dxa" w:w="4200"/>
            <w:shd w:fill="fff8f8" w:val="clear"/>
          </w:tcPr>
          <w:p>
            <w:r>
              <w:rPr>
                <w:sz w:val="20"/>
                <w:szCs w:val="20"/>
              </w:rPr>
              <w:t xml:space="preserve">Research question locked but no paper search done yet</w:t>
            </w:r>
          </w:p>
        </w:tc>
        <w:tc>
          <w:tcPr>
            <w:tcW w:type="dxa" w:w="3000"/>
            <w:shd w:fill="fff8f8" w:val="clear"/>
          </w:tcPr>
          <w:p>
            <w:r>
              <w:rPr>
                <w:sz w:val="20"/>
                <w:szCs w:val="20"/>
              </w:rPr>
              <w:t xml:space="preserve">Work 2</w:t>
            </w:r>
          </w:p>
        </w:tc>
      </w:tr>
      <w:tr>
        <w:tc>
          <w:tcPr>
            <w:tcW w:type="dxa" w:w="2000"/>
            <w:shd w:fill="fff3f3" w:val="clear"/>
          </w:tcPr>
          <w:p>
            <w:r>
              <w:rPr>
                <w:sz w:val="20"/>
                <w:szCs w:val="20"/>
              </w:rPr>
              <w:t xml:space="preserve">Missing worker container</w:t>
            </w:r>
          </w:p>
        </w:tc>
        <w:tc>
          <w:tcPr>
            <w:tcW w:type="dxa" w:w="4200"/>
            <w:shd w:fill="fff3f3" w:val="clear"/>
          </w:tcPr>
          <w:p>
            <w:r>
              <w:rPr>
                <w:sz w:val="20"/>
                <w:szCs w:val="20"/>
              </w:rPr>
              <w:t xml:space="preserve">Production DB empty — Elyts-EDGE data silently discarded</w:t>
            </w:r>
          </w:p>
        </w:tc>
        <w:tc>
          <w:tcPr>
            <w:tcW w:type="dxa" w:w="3000"/>
            <w:shd w:fill="fff3f3" w:val="clear"/>
          </w:tcPr>
          <w:p>
            <w:r>
              <w:rPr>
                <w:sz w:val="20"/>
                <w:szCs w:val="20"/>
              </w:rPr>
              <w:t xml:space="preserve">Elyts-EDGE</w:t>
            </w:r>
          </w:p>
        </w:tc>
      </w:tr>
      <w:tr>
        <w:tc>
          <w:tcPr>
            <w:tcW w:type="dxa" w:w="2000"/>
            <w:shd w:fill="fff8f8" w:val="clear"/>
          </w:tcPr>
          <w:p>
            <w:r>
              <w:rPr>
                <w:sz w:val="20"/>
                <w:szCs w:val="20"/>
              </w:rPr>
              <w:t xml:space="preserve">Meta/Kapso blocked</w:t>
            </w:r>
          </w:p>
        </w:tc>
        <w:tc>
          <w:tcPr>
            <w:tcW w:type="dxa" w:w="4200"/>
            <w:shd w:fill="fff8f8" w:val="clear"/>
          </w:tcPr>
          <w:p>
            <w:r>
              <w:rPr>
                <w:sz w:val="20"/>
                <w:szCs w:val="20"/>
              </w:rPr>
              <w:t xml:space="preserve">WhatsApp broadcasting deferred pending account resolution</w:t>
            </w:r>
          </w:p>
        </w:tc>
        <w:tc>
          <w:tcPr>
            <w:tcW w:type="dxa" w:w="3000"/>
            <w:shd w:fill="fff8f8" w:val="clear"/>
          </w:tcPr>
          <w:p>
            <w:r>
              <w:rPr>
                <w:sz w:val="20"/>
                <w:szCs w:val="20"/>
              </w:rPr>
              <w:t xml:space="preserve">Vikas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7. Immediate Next Actions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This Week — Priority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sz w:val="22"/>
          <w:szCs w:val="22"/>
        </w:rPr>
        <w:t xml:space="preserve">URGENT: </w:t>
      </w:r>
      <w:r>
        <w:rPr>
          <w:sz w:val="22"/>
          <w:szCs w:val="22"/>
        </w:rPr>
        <w:t xml:space="preserve">Work 1: Run Claude Code audit on matrix_full_192.csv — resolve row count before July 30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sz w:val="22"/>
          <w:szCs w:val="22"/>
        </w:rPr>
        <w:t xml:space="preserve">HIGH: </w:t>
      </w:r>
      <w:r>
        <w:rPr>
          <w:sz w:val="22"/>
          <w:szCs w:val="22"/>
        </w:rPr>
        <w:t xml:space="preserve">Work 2: Search arxiv cs.CR for anchor survey on LLM agent security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sz w:val="22"/>
          <w:szCs w:val="22"/>
        </w:rPr>
        <w:t xml:space="preserve">HIGH: </w:t>
      </w:r>
      <w:r>
        <w:rPr>
          <w:sz w:val="22"/>
          <w:szCs w:val="22"/>
        </w:rPr>
        <w:t xml:space="preserve">Work 3: Download CICIoMT2024 from cicresearch.ca/IOTDataset/CICIoMT2024/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Next Two Weeks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Work 2: Build minimal MCP server to understand protocol firsthand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Work 2: Read NIST SP 800-207 (Zero Trust) and OWASP LLM Top 10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Work 3: Atomise HIPAA §164.312 Technical Safeguards using protocol above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Work 3: Write first 10 IoMT incident records (DDoS attack scenarios from CICIoMT2024)</w:t>
      </w:r>
    </w:p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8. Key Decisions Made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Thesis title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Changeable — must stay within security + IoT domain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Removed from Work 3 — not essential, not required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3 rejection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Methodology gap (no experiments), not novelty gap — salvageable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Vikas scope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Product A: content publishing tool only — no measurement, enrollment tracking, or ward data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Elyts-EDGE accuracy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17.6% detection on laptop = hardware constraint, NOT a code problem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2 testbed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Vikas 45-agent production system is the evaluation environment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4 testbed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Elyts-EDGE YOLOv8 + OpenVINO pipeline — if supervisor approves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Patent timing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File after Work 5 — stronger claims from integrated platform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9. Research Strengths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BM25 + reranker + LLM judge — built, operational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Per-atom compliance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Novel methodology — first for HIPAA, confirmed by literature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Local inference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HIPAA sovereignty framing — biggest commercial differentiator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MCP experience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Vikas 45-agent production system — real testbed, not simulated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Edge detection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YOLOv8 + OpenVINO INT8, AADT-anchored footprint engine</w:t>
            </w:r>
          </w:p>
        </w:tc>
      </w:tr>
      <w:tr>
        <w:tc>
          <w:tcPr>
            <w:tcW w:type="dxa" w:w="3000"/>
            <w:shd w:fill="f5f9fc" w:val="clear"/>
          </w:tcPr>
          <w:p>
            <w:r>
              <w:rPr>
                <w:b/>
                <w:bCs/>
                <w:sz w:val="20"/>
                <w:szCs w:val="20"/>
              </w:rPr>
              <w:t xml:space="preserve">QLoRA fine-tuning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Llama 3.2 — applied ML experience for Work 3 fine-tune</w:t>
            </w:r>
          </w:p>
        </w:tc>
      </w:tr>
      <w:tr>
        <w:tc>
          <w:tcPr>
            <w:tcW w:type="dxa" w:w="3000"/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Production systems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sz w:val="20"/>
                <w:szCs w:val="20"/>
              </w:rPr>
              <w:t xml:space="preserve">Both Vikas and Elyts-EDGE are real deployments — rare at PhD level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/>
        </w:pBdr>
        <w:spacing w:after="200" w:before="200"/>
      </w:pPr>
    </w:p>
    <w:p>
      <w:pPr>
        <w:spacing w:before="300"/>
        <w:jc w:val="center"/>
      </w:pPr>
      <w:r>
        <w:rPr>
          <w:i/>
          <w:iCs/>
          <w:color w:val="999999"/>
          <w:sz w:val="18"/>
          <w:szCs w:val="18"/>
        </w:rPr>
        <w:t xml:space="preserve">Generated from Claude Project session — August 2026. Continue in same project for memory continuity.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2026-08-06T08:47:49.405Z</dcterms:created>
  <dcterms:modified xsi:type="dcterms:W3CDTF">2026-08-06T08:47:49.422Z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