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D78"/>
          <w:sz w:val="20"/>
        </w:rPr>
        <w:t>INTERNAL POLICY</w:t>
      </w:r>
    </w:p>
    <w:p>
      <w:pPr>
        <w:spacing w:after="100"/>
      </w:pPr>
      <w:r>
        <w:rPr>
          <w:b/>
          <w:color w:val="0B2545"/>
          <w:sz w:val="50"/>
        </w:rPr>
        <w:t>Hybrid Work and</w:t>
        <w:br/>
        <w:t>Equipment Policy</w:t>
      </w:r>
    </w:p>
    <w:p>
      <w:pPr>
        <w:spacing w:after="320"/>
      </w:pPr>
      <w:r>
        <w:rPr>
          <w:color w:val="5C676E"/>
          <w:sz w:val="24"/>
        </w:rPr>
        <w:t>Eligibility, scheduling, home-office support, security, and approval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shd w:fill="E8EEF5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7416"/>
          </w:tcPr>
          <w:p>
            <w:r>
              <w:t>People Operations</w:t>
            </w:r>
          </w:p>
        </w:tc>
      </w:tr>
      <w:tr>
        <w:tc>
          <w:tcPr>
            <w:tcW w:type="dxa" w:w="1944"/>
            <w:shd w:fill="E8EEF5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7416"/>
          </w:tcPr>
          <w:p>
            <w:r>
              <w:t>July 1, 2026</w:t>
            </w:r>
          </w:p>
        </w:tc>
      </w:tr>
      <w:tr>
        <w:tc>
          <w:tcPr>
            <w:tcW w:type="dxa" w:w="1944"/>
            <w:shd w:fill="E8EEF5"/>
          </w:tcPr>
          <w:p>
            <w:r>
              <w:rPr>
                <w:b/>
              </w:rPr>
              <w:t>Review cycle</w:t>
            </w:r>
          </w:p>
        </w:tc>
        <w:tc>
          <w:tcPr>
            <w:tcW w:type="dxa" w:w="7416"/>
          </w:tcPr>
          <w:p>
            <w:r>
              <w:t>Annual</w:t>
            </w:r>
          </w:p>
        </w:tc>
      </w:tr>
      <w:tr>
        <w:tc>
          <w:tcPr>
            <w:tcW w:type="dxa" w:w="1944"/>
            <w:shd w:fill="E8EEF5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7416"/>
          </w:tcPr>
          <w:p>
            <w:r>
              <w:t>Full-time employees in the United States</w:t>
            </w:r>
          </w:p>
        </w:tc>
      </w:tr>
    </w:tbl>
    <w:p>
      <w:pPr>
        <w:pStyle w:val="Heading1"/>
      </w:pPr>
      <w:r>
        <w:t>1. Purpose</w:t>
      </w:r>
    </w:p>
    <w:p>
      <w:r>
        <w:t>This policy establishes a consistent hybrid-work model while preserving customer coverage, team collaboration, information security, and employee wellbeing.</w:t>
      </w:r>
    </w:p>
    <w:p>
      <w:pPr>
        <w:pStyle w:val="Heading1"/>
      </w:pPr>
      <w:r>
        <w:t>2. Standard hybrid schedule</w:t>
      </w:r>
    </w:p>
    <w:p>
      <w:r>
        <w:t>Eligible employees may work remotely up to three days per week. Tuesday and Wednesday are company-wide collaboration days and must normally be worked from the employee's assigned office.</w:t>
      </w:r>
    </w:p>
    <w:p>
      <w:pPr>
        <w:pStyle w:val="ListBullet"/>
        <w:spacing w:after="160" w:line="280" w:lineRule="auto"/>
      </w:pPr>
      <w:r>
        <w:t>Managers may designate one additional in-office day when customer or project needs require it.</w:t>
      </w:r>
    </w:p>
    <w:p>
      <w:pPr>
        <w:pStyle w:val="ListBullet"/>
        <w:spacing w:after="160" w:line="280" w:lineRule="auto"/>
      </w:pPr>
      <w:r>
        <w:t>A permanent schedule exception requires approval from the department director and People Operations.</w:t>
      </w:r>
    </w:p>
    <w:p>
      <w:pPr>
        <w:pStyle w:val="ListBullet"/>
        <w:spacing w:after="160" w:line="280" w:lineRule="auto"/>
      </w:pPr>
      <w:r>
        <w:t>Employees must remain available during their team's published core hours of 10:00 a.m. to 3:00 p.m. local time.</w:t>
      </w:r>
    </w:p>
    <w:p>
      <w:pPr>
        <w:pStyle w:val="Heading1"/>
      </w:pPr>
      <w:r>
        <w:t>3. International remote work</w:t>
      </w:r>
    </w:p>
    <w:p>
      <w:r>
        <w:t>Working from another country is limited to 15 calendar days per year. Employees must submit a request at least 30 days before travel. Approval is required from the employee's department director, People Operations, and Information Security.</w:t>
      </w:r>
    </w:p>
    <w:p>
      <w:pPr>
        <w:pStyle w:val="Heading1"/>
      </w:pPr>
      <w:r>
        <w:t>4. Home-office equipment</w:t>
      </w:r>
    </w:p>
    <w:p>
      <w:r>
        <w:t>The company provides a laptop and an annual home-office allowance of 800 dollars. The allowance may be used for a monitor, keyboard, mouse, ergonomic chair, desk, headset, or task lighting.</w:t>
      </w:r>
    </w:p>
    <w:p>
      <w:pPr>
        <w:pStyle w:val="ListBullet"/>
        <w:spacing w:after="160" w:line="280" w:lineRule="auto"/>
      </w:pPr>
      <w:r>
        <w:t>Individual purchases above 300 dollars require manager approval before purchase.</w:t>
      </w:r>
    </w:p>
    <w:p>
      <w:pPr>
        <w:pStyle w:val="ListBullet"/>
        <w:spacing w:after="160" w:line="280" w:lineRule="auto"/>
      </w:pPr>
      <w:r>
        <w:t>Receipts must be submitted through the expense system within 10 calendar days.</w:t>
      </w:r>
    </w:p>
    <w:p>
      <w:pPr>
        <w:pStyle w:val="ListBullet"/>
        <w:spacing w:after="160" w:line="280" w:lineRule="auto"/>
      </w:pPr>
      <w:r>
        <w:t>Internet service, mobile-phone plans, decorations, and household utilities are not reimbursable.</w:t>
      </w:r>
    </w:p>
    <w:p>
      <w:pPr>
        <w:pStyle w:val="Heading1"/>
      </w:pPr>
      <w:r>
        <w:t>5. Security requirements</w:t>
      </w:r>
    </w:p>
    <w:p>
      <w:r>
        <w:t>Employees must use the company VPN when accessing internal systems outside an office. Company information may not be stored on personal devices or printed in public locations. A lost company device must be reported to Security Operations within one hour of discovery.</w:t>
      </w:r>
    </w:p>
    <w:p>
      <w:pPr>
        <w:pStyle w:val="Heading1"/>
      </w:pPr>
      <w:r>
        <w:t>6. Questions and exceptions</w:t>
      </w:r>
    </w:p>
    <w:p>
      <w:r>
        <w:t>Questions should be sent to People Operations. Exceptions are reviewed case by case and do not establish a permanent precedent for other employees.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6E"/>
        <w:sz w:val="16"/>
      </w:rPr>
      <w:t>Internal use  |  Policy HR-204  |  Effective July 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76E"/>
        <w:sz w:val="18"/>
      </w:rPr>
      <w:t>ACME OPERATIONS  |  PEOPLE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Hybrid Work and Equipment Policy</dc:title>
  <dc:subject>Sample knowledge-base upload document</dc:subject>
  <dc:creator>Acme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