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p>
    <w:p>
      <w:pPr>
        <w:spacing w:after="60"/>
        <w:jc w:val="center"/>
      </w:pPr>
      <w:r>
        <w:rPr>
          <w:rFonts w:ascii="Arial" w:cs="Arial" w:eastAsia="Arial" w:hAnsi="Arial"/>
          <w:b/>
          <w:bCs/>
          <w:color w:val="C0392B"/>
          <w:sz w:val="80"/>
          <w:szCs w:val="80"/>
        </w:rPr>
        <w:t xml:space="preserve">DATA HEIST</w:t>
      </w:r>
    </w:p>
    <w:p>
      <w:pPr>
        <w:spacing w:after="180"/>
        <w:jc w:val="center"/>
      </w:pPr>
      <w:r>
        <w:rPr>
          <w:rFonts w:ascii="Arial" w:cs="Arial" w:eastAsia="Arial" w:hAnsi="Arial"/>
          <w:b/>
          <w:bCs/>
          <w:color w:val="555555"/>
          <w:sz w:val="38"/>
          <w:szCs w:val="38"/>
        </w:rPr>
        <w:t xml:space="preserve">STAGE 4 — TECHNICAL REPORT</w:t>
      </w:r>
    </w:p>
    <w:p>
      <w:pPr>
        <w:pBdr>
          <w:bottom w:val="single" w:color="C0392B" w:sz="6" w:space="1"/>
        </w:pBdr>
        <w:spacing w:after="200"/>
      </w:pPr>
    </w:p>
    <w:p>
      <w:pPr>
        <w:spacing w:after="100" w:before="100"/>
      </w:pPr>
    </w:p>
    <w:p>
      <w:pPr>
        <w:spacing w:after="80"/>
        <w:jc w:val="center"/>
      </w:pPr>
      <w:r>
        <w:rPr>
          <w:rFonts w:ascii="Arial" w:cs="Arial" w:eastAsia="Arial" w:hAnsi="Arial"/>
          <w:b/>
          <w:bCs/>
          <w:color w:val="111111"/>
          <w:sz w:val="26"/>
          <w:szCs w:val="26"/>
        </w:rPr>
        <w:t xml:space="preserve">Car Price Prediction Dataset — Full 7-Domain Quality Audit</w:t>
      </w:r>
    </w:p>
    <w:p>
      <w:pPr>
        <w:spacing w:after="60"/>
        <w:jc w:val="center"/>
      </w:pPr>
      <w:r>
        <w:rPr>
          <w:rFonts w:ascii="Arial" w:cs="Arial" w:eastAsia="Arial" w:hAnsi="Arial"/>
          <w:color w:val="555555"/>
          <w:sz w:val="21"/>
          <w:szCs w:val="21"/>
        </w:rPr>
        <w:t xml:space="preserve">car_price_prediction_with_missing.csv  |  2,500 rows  |  10 columns  |  7 Audit Domains  |  8 Creative Metrics</w:t>
      </w:r>
    </w:p>
    <w:p>
      <w:pPr>
        <w:spacing w:after="160" w:before="160"/>
      </w:pPr>
    </w:p>
    <w:p>
      <w:pPr>
        <w:spacing w:after="60"/>
        <w:jc w:val="center"/>
      </w:pPr>
      <w:r>
        <w:rPr>
          <w:rFonts w:ascii="Arial" w:cs="Arial" w:eastAsia="Arial" w:hAnsi="Arial"/>
          <w:color w:val="888888"/>
          <w:sz w:val="21"/>
          <w:szCs w:val="21"/>
        </w:rPr>
        <w:t xml:space="preserve">Submission: 6:00 PM, April 17, 2026  |  battleofminds.vercel.app</w:t>
      </w:r>
    </w:p>
    <w:p>
      <w:pPr>
        <w:spacing w:after="400" w:before="400"/>
      </w:pPr>
    </w:p>
    <w:p>
      <w:r>
        <w:br w:type="page"/>
      </w:r>
    </w:p>
    <w:p>
      <w:pPr>
        <w:pStyle w:val="Heading1"/>
        <w:spacing w:after="140" w:before="300"/>
      </w:pPr>
      <w:r>
        <w:rPr>
          <w:rFonts w:ascii="Arial" w:cs="Arial" w:eastAsia="Arial" w:hAnsi="Arial"/>
          <w:b/>
          <w:bCs/>
          <w:color w:val="111111"/>
          <w:sz w:val="32"/>
          <w:szCs w:val="32"/>
        </w:rPr>
        <w:t xml:space="preserve">1.  Executive Overview</w:t>
      </w:r>
    </w:p>
    <w:p>
      <w:pPr>
        <w:pBdr>
          <w:bottom w:val="single" w:color="C0392B" w:sz="6" w:space="1"/>
        </w:pBdr>
        <w:spacing w:after="200"/>
      </w:pPr>
    </w:p>
    <w:p>
      <w:pPr>
        <w:spacing w:after="100"/>
      </w:pPr>
      <w:r>
        <w:rPr>
          <w:rFonts w:ascii="Arial" w:cs="Arial" w:eastAsia="Arial" w:hAnsi="Arial"/>
          <w:color w:val="111111"/>
          <w:sz w:val="22"/>
          <w:szCs w:val="22"/>
        </w:rPr>
        <w:t xml:space="preserve">This technical report documents the complete 7-domain quality audit performed on the Car Price Prediction dataset as part of Stage 4 of the DATA HEIST competition at Rishihood University. We completed all seven audit domains and additionally derived eight original creative metrics that reveal deep structural patterns in the data.</w:t>
      </w:r>
    </w:p>
    <w:p>
      <w:pPr>
        <w:spacing w:after="80" w:before="80"/>
      </w:pPr>
    </w:p>
    <w:p>
      <w:pPr>
        <w:spacing w:after="100"/>
      </w:pPr>
      <w:r>
        <w:rPr>
          <w:rFonts w:ascii="Arial" w:cs="Arial" w:eastAsia="Arial" w:hAnsi="Arial"/>
          <w:color w:val="111111"/>
          <w:sz w:val="22"/>
          <w:szCs w:val="22"/>
        </w:rPr>
        <w:t xml:space="preserve">The dataset contained 2,500 rows and 10 columns covering car attributes including Brand, Model, Year, Engine Size, Fuel Type, Transmission, Mileage, Condition, and Price. After cleaning, 2,250 valid records remain with 14 columns (including three enriched computed columns and an Audit_Flag column).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2980B9"/>
                <w:sz w:val="40"/>
                <w:szCs w:val="40"/>
              </w:rPr>
              <w:t xml:space="preserve">2,500</w:t>
            </w:r>
          </w:p>
          <w:p>
            <w:pPr>
              <w:jc w:val="center"/>
            </w:pPr>
            <w:r>
              <w:rPr>
                <w:rFonts w:ascii="Arial" w:cs="Arial" w:eastAsia="Arial" w:hAnsi="Arial"/>
                <w:color w:val="555555"/>
                <w:sz w:val="17"/>
                <w:szCs w:val="17"/>
              </w:rPr>
              <w:t xml:space="preserve">Original Rows</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27AE60"/>
                <w:sz w:val="40"/>
                <w:szCs w:val="40"/>
              </w:rPr>
              <w:t xml:space="preserve">2,250</w:t>
            </w:r>
          </w:p>
          <w:p>
            <w:pPr>
              <w:jc w:val="center"/>
            </w:pPr>
            <w:r>
              <w:rPr>
                <w:rFonts w:ascii="Arial" w:cs="Arial" w:eastAsia="Arial" w:hAnsi="Arial"/>
                <w:color w:val="555555"/>
                <w:sz w:val="17"/>
                <w:szCs w:val="17"/>
              </w:rPr>
              <w:t xml:space="preserve">Cleaned Rows</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D35400"/>
                <w:sz w:val="40"/>
                <w:szCs w:val="40"/>
              </w:rPr>
              <w:t xml:space="preserve">1,518</w:t>
            </w:r>
          </w:p>
          <w:p>
            <w:pPr>
              <w:jc w:val="center"/>
            </w:pPr>
            <w:r>
              <w:rPr>
                <w:rFonts w:ascii="Arial" w:cs="Arial" w:eastAsia="Arial" w:hAnsi="Arial"/>
                <w:color w:val="555555"/>
                <w:sz w:val="17"/>
                <w:szCs w:val="17"/>
              </w:rPr>
              <w:t xml:space="preserve">Flagged Rows</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8E44AD"/>
                <w:sz w:val="40"/>
                <w:szCs w:val="40"/>
              </w:rPr>
              <w:t xml:space="preserve">8</w:t>
            </w:r>
          </w:p>
          <w:p>
            <w:pPr>
              <w:jc w:val="center"/>
            </w:pPr>
            <w:r>
              <w:rPr>
                <w:rFonts w:ascii="Arial" w:cs="Arial" w:eastAsia="Arial" w:hAnsi="Arial"/>
                <w:color w:val="555555"/>
                <w:sz w:val="17"/>
                <w:szCs w:val="17"/>
              </w:rPr>
              <w:t xml:space="preserve">Creative Metrics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C0392B"/>
                <w:sz w:val="40"/>
                <w:szCs w:val="40"/>
              </w:rPr>
              <w:t xml:space="preserve">250</w:t>
            </w:r>
          </w:p>
          <w:p>
            <w:pPr>
              <w:jc w:val="center"/>
            </w:pPr>
            <w:r>
              <w:rPr>
                <w:rFonts w:ascii="Arial" w:cs="Arial" w:eastAsia="Arial" w:hAnsi="Arial"/>
                <w:color w:val="555555"/>
                <w:sz w:val="17"/>
                <w:szCs w:val="17"/>
              </w:rPr>
              <w:t xml:space="preserve">Ghost Rows Removed</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B7950B"/>
                <w:sz w:val="40"/>
                <w:szCs w:val="40"/>
              </w:rPr>
              <w:t xml:space="preserve">221</w:t>
            </w:r>
          </w:p>
          <w:p>
            <w:pPr>
              <w:jc w:val="center"/>
            </w:pPr>
            <w:r>
              <w:rPr>
                <w:rFonts w:ascii="Arial" w:cs="Arial" w:eastAsia="Arial" w:hAnsi="Arial"/>
                <w:color w:val="555555"/>
                <w:sz w:val="17"/>
                <w:szCs w:val="17"/>
              </w:rPr>
              <w:t xml:space="preserve">Tesla Errors Fixed</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D35400"/>
                <w:sz w:val="40"/>
                <w:szCs w:val="40"/>
              </w:rPr>
              <w:t xml:space="preserve">377</w:t>
            </w:r>
          </w:p>
          <w:p>
            <w:pPr>
              <w:jc w:val="center"/>
            </w:pPr>
            <w:r>
              <w:rPr>
                <w:rFonts w:ascii="Arial" w:cs="Arial" w:eastAsia="Arial" w:hAnsi="Arial"/>
                <w:color w:val="555555"/>
                <w:sz w:val="17"/>
                <w:szCs w:val="17"/>
              </w:rPr>
              <w:t xml:space="preserve">EV Engine Anomalies</w:t>
            </w:r>
          </w:p>
        </w:tc>
        <w:tc>
          <w:tcPr>
            <w:tcW w:type="dxa" w:w="234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jc w:val="center"/>
            </w:pPr>
            <w:r>
              <w:rPr>
                <w:rFonts w:ascii="Arial" w:cs="Arial" w:eastAsia="Arial" w:hAnsi="Arial"/>
                <w:b/>
                <w:bCs/>
                <w:color w:val="8E44AD"/>
                <w:sz w:val="40"/>
                <w:szCs w:val="40"/>
              </w:rPr>
              <w:t xml:space="preserve">823</w:t>
            </w:r>
          </w:p>
          <w:p>
            <w:pPr>
              <w:jc w:val="center"/>
            </w:pPr>
            <w:r>
              <w:rPr>
                <w:rFonts w:ascii="Arial" w:cs="Arial" w:eastAsia="Arial" w:hAnsi="Arial"/>
                <w:color w:val="555555"/>
                <w:sz w:val="17"/>
                <w:szCs w:val="17"/>
              </w:rPr>
              <w:t xml:space="preserve">Depreciation Paradox</w:t>
            </w:r>
          </w:p>
        </w:tc>
      </w:tr>
    </w:tbl>
    <w:p>
      <w:pPr>
        <w:spacing w:after="160" w:before="160"/>
      </w:pPr>
    </w:p>
    <w:p>
      <w:pPr>
        <w:pStyle w:val="Heading1"/>
        <w:spacing w:after="140" w:before="300"/>
      </w:pPr>
      <w:r>
        <w:rPr>
          <w:rFonts w:ascii="Arial" w:cs="Arial" w:eastAsia="Arial" w:hAnsi="Arial"/>
          <w:b/>
          <w:bCs/>
          <w:color w:val="111111"/>
          <w:sz w:val="32"/>
          <w:szCs w:val="32"/>
        </w:rPr>
        <w:t xml:space="preserve">2.  Quality Score Summary</w:t>
      </w:r>
    </w:p>
    <w:p>
      <w:pPr>
        <w:pBdr>
          <w:bottom w:val="single" w:color="C0392B" w:sz="6" w:space="1"/>
        </w:pBdr>
        <w:spacing w:after="200"/>
      </w:pPr>
    </w:p>
    <w:p>
      <w:pPr>
        <w:spacing w:after="100"/>
      </w:pPr>
      <w:r>
        <w:rPr>
          <w:rFonts w:ascii="Arial" w:cs="Arial" w:eastAsia="Arial" w:hAnsi="Arial"/>
          <w:color w:val="111111"/>
          <w:sz w:val="22"/>
          <w:szCs w:val="22"/>
        </w:rPr>
        <w:t xml:space="preserve">The following table summarises findings, issue counts, and quality scores across all seven domains.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400"/>
        <w:gridCol w:w="2000"/>
      </w:tblGrid>
      <w:tr>
        <w:trPr>
          <w:tblHeader/>
        </w:trPr>
        <w:tc>
          <w:tcPr>
            <w:tcW w:type="dxa" w:w="22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376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Key Findings</w:t>
            </w:r>
          </w:p>
        </w:tc>
        <w:tc>
          <w:tcPr>
            <w:tcW w:type="dxa" w:w="14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Issues Found</w:t>
            </w:r>
          </w:p>
        </w:tc>
        <w:tc>
          <w:tcPr>
            <w:tcW w:type="dxa" w:w="20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Quality Score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D6 – Completeness</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250 ghost rows (10% of dataset); zero partial nulls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250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100% ✓</w:t>
            </w:r>
          </w:p>
        </w:tc>
      </w:tr>
      <w:tr>
        <w:tc>
          <w:tcPr>
            <w:tcW w:type="dxa" w:w="2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D4 – Deduplication</w:t>
            </w:r>
          </w:p>
        </w:tc>
        <w:tc>
          <w:tcPr>
            <w:tcW w:type="dxa" w:w="37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250 exact + 131 near-duplicates flagged</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381</w:t>
            </w:r>
          </w:p>
        </w:tc>
        <w:tc>
          <w:tcPr>
            <w:tcW w:type="dxa" w:w="2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95%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D2 – Formatting</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Car ID &amp; Year as float; whitespace; column order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4 types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90% ✓</w:t>
            </w:r>
          </w:p>
        </w:tc>
      </w:tr>
      <w:tr>
        <w:tc>
          <w:tcPr>
            <w:tcW w:type="dxa" w:w="2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D7 – Categorical</w:t>
            </w:r>
          </w:p>
        </w:tc>
        <w:tc>
          <w:tcPr>
            <w:tcW w:type="dxa" w:w="37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221 Tesla fuel errors; brand purity analysis</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221</w:t>
            </w:r>
          </w:p>
        </w:tc>
        <w:tc>
          <w:tcPr>
            <w:tcW w:type="dxa" w:w="2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88%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D3 – Relational</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250 ID gaps; 377 EV large engine anomalies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627</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82% ✓</w:t>
            </w:r>
          </w:p>
        </w:tc>
      </w:tr>
      <w:tr>
        <w:tc>
          <w:tcPr>
            <w:tcW w:type="dxa" w:w="2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D1 – Statistical</w:t>
            </w:r>
          </w:p>
        </w:tc>
        <w:tc>
          <w:tcPr>
            <w:tcW w:type="dxa" w:w="37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1,109 condition-mileage violations; kurtosis = −1.2</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1,109</w:t>
            </w:r>
          </w:p>
        </w:tc>
        <w:tc>
          <w:tcPr>
            <w:tcW w:type="dxa" w:w="2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8"/>
                <w:szCs w:val="18"/>
              </w:rPr>
              <w:t xml:space="preserve">75% ✓</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D5 – Visual/Trend</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Price-Year corr = −0.38; Mileage-Year ≈ 0; 64 anachronistic</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~70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78% ✓</w:t>
            </w:r>
          </w:p>
        </w:tc>
      </w:tr>
      <w:tr>
        <w:tc>
          <w:tcPr>
            <w:tcW w:type="dxa" w:w="2200"/>
            <w:tcBorders>
              <w:top w:val="single" w:color="2980B9" w:sz="4"/>
              <w:left w:val="single" w:color="2980B9" w:sz="4"/>
              <w:bottom w:val="single" w:color="2980B9" w:sz="4"/>
              <w:right w:val="single" w:color="2980B9" w:sz="4"/>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OVERALL</w:t>
            </w:r>
          </w:p>
        </w:tc>
        <w:tc>
          <w:tcPr>
            <w:tcW w:type="dxa" w:w="3760"/>
            <w:tcBorders>
              <w:top w:val="single" w:color="2980B9" w:sz="4"/>
              <w:left w:val="single" w:color="2980B9" w:sz="4"/>
              <w:bottom w:val="single" w:color="2980B9" w:sz="4"/>
              <w:right w:val="single" w:color="2980B9" w:sz="4"/>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7/7 domains, 8 creative metrics, 1,518 rows flagged</w:t>
            </w:r>
          </w:p>
        </w:tc>
        <w:tc>
          <w:tcPr>
            <w:tcW w:type="dxa" w:w="1400"/>
            <w:tcBorders>
              <w:top w:val="single" w:color="2980B9" w:sz="4"/>
              <w:left w:val="single" w:color="2980B9" w:sz="4"/>
              <w:bottom w:val="single" w:color="2980B9" w:sz="4"/>
              <w:right w:val="single" w:color="2980B9" w:sz="4"/>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w:t>
            </w:r>
          </w:p>
        </w:tc>
        <w:tc>
          <w:tcPr>
            <w:tcW w:type="dxa" w:w="2000"/>
            <w:tcBorders>
              <w:top w:val="single" w:color="2980B9" w:sz="4"/>
              <w:left w:val="single" w:color="2980B9" w:sz="4"/>
              <w:bottom w:val="single" w:color="2980B9" w:sz="4"/>
              <w:right w:val="single" w:color="2980B9" w:sz="4"/>
            </w:tcBorders>
            <w:shd w:fill="EBF5FB" w:val="clear"/>
            <w:tcMar>
              <w:top w:type="dxa" w:w="80"/>
              <w:left w:type="dxa" w:w="120"/>
              <w:bottom w:type="dxa" w:w="80"/>
              <w:right w:type="dxa" w:w="120"/>
            </w:tcMar>
          </w:tcPr>
          <w:p>
            <w:r>
              <w:rPr>
                <w:rFonts w:ascii="Arial" w:cs="Arial" w:eastAsia="Arial" w:hAnsi="Arial"/>
                <w:b/>
                <w:bCs/>
                <w:color w:val="2980B9"/>
                <w:sz w:val="20"/>
                <w:szCs w:val="20"/>
              </w:rPr>
              <w:t xml:space="preserve">87% ✓</w:t>
            </w:r>
          </w:p>
        </w:tc>
      </w:tr>
    </w:tbl>
    <w:p>
      <w:pPr>
        <w:spacing w:after="160" w:before="160"/>
      </w:pPr>
    </w:p>
    <w:p>
      <w:r>
        <w:br w:type="page"/>
      </w:r>
    </w:p>
    <w:p>
      <w:pPr>
        <w:pStyle w:val="Heading1"/>
        <w:spacing w:after="140" w:before="300"/>
      </w:pPr>
      <w:r>
        <w:rPr>
          <w:rFonts w:ascii="Arial" w:cs="Arial" w:eastAsia="Arial" w:hAnsi="Arial"/>
          <w:b/>
          <w:bCs/>
          <w:color w:val="111111"/>
          <w:sz w:val="32"/>
          <w:szCs w:val="32"/>
        </w:rPr>
        <w:t xml:space="preserve">3.  Domain-by-Domain Analysis</w:t>
      </w:r>
    </w:p>
    <w:p>
      <w:pPr>
        <w:pBdr>
          <w:bottom w:val="single" w:color="C0392B" w:sz="6" w:space="1"/>
        </w:pBdr>
        <w:spacing w:after="200"/>
      </w:pPr>
    </w:p>
    <w:p>
      <w:pPr>
        <w:pStyle w:val="Heading2"/>
        <w:spacing w:after="100" w:before="220"/>
      </w:pPr>
      <w:r>
        <w:rPr>
          <w:rFonts w:ascii="Arial" w:cs="Arial" w:eastAsia="Arial" w:hAnsi="Arial"/>
          <w:b/>
          <w:bCs/>
          <w:color w:val="148F77"/>
          <w:sz w:val="26"/>
          <w:szCs w:val="26"/>
        </w:rPr>
        <w:t xml:space="preserve">Domain 6 — Completeness &amp; Coverage</w:t>
      </w:r>
    </w:p>
    <w:p>
      <w:pPr>
        <w:spacing w:after="80"/>
      </w:pPr>
      <w:r>
        <w:rPr>
          <w:rFonts w:ascii="Arial" w:cs="Arial" w:eastAsia="Arial" w:hAnsi="Arial"/>
          <w:b/>
          <w:bCs/>
          <w:color w:val="111111"/>
          <w:sz w:val="21"/>
          <w:szCs w:val="21"/>
        </w:rPr>
        <w:t xml:space="preserve">Key Metric: </w:t>
      </w:r>
      <w:r>
        <w:rPr>
          <w:rFonts w:ascii="Arial" w:cs="Arial" w:eastAsia="Arial" w:hAnsi="Arial"/>
          <w:color w:val="555555"/>
          <w:sz w:val="21"/>
          <w:szCs w:val="21"/>
        </w:rPr>
        <w:t xml:space="preserve">250 rows (10.0%) were entirely null across all 10 columns</w:t>
      </w:r>
    </w:p>
    <w:p>
      <w:pPr>
        <w:spacing w:after="80"/>
      </w:pPr>
      <w:r>
        <w:rPr>
          <w:rFonts w:ascii="Arial" w:cs="Arial" w:eastAsia="Arial" w:hAnsi="Arial"/>
          <w:b/>
          <w:bCs/>
          <w:color w:val="111111"/>
          <w:sz w:val="21"/>
          <w:szCs w:val="21"/>
        </w:rPr>
        <w:t xml:space="preserve">Method: </w:t>
      </w:r>
      <w:r>
        <w:rPr>
          <w:rFonts w:ascii="Arial" w:cs="Arial" w:eastAsia="Arial" w:hAnsi="Arial"/>
          <w:color w:val="555555"/>
          <w:sz w:val="21"/>
          <w:szCs w:val="21"/>
        </w:rPr>
        <w:t xml:space="preserve">df.isnull().sum() per column; df.isnull().all(axis=1) for blank row detection</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Uniform missingness (exactly 250 in every column) is the statistical signature of structurally injected ghost rows — not random data entry failure. The probability of 250 nulls occurring independently in every column by chance is astronomically small.</w:t>
      </w:r>
    </w:p>
    <w:p>
      <w:pPr>
        <w:spacing w:after="80"/>
      </w:pPr>
      <w:r>
        <w:rPr>
          <w:rFonts w:ascii="Arial" w:cs="Arial" w:eastAsia="Arial" w:hAnsi="Arial"/>
          <w:b/>
          <w:bCs/>
          <w:color w:val="111111"/>
          <w:sz w:val="21"/>
          <w:szCs w:val="21"/>
        </w:rPr>
        <w:t xml:space="preserve">Action: </w:t>
      </w:r>
      <w:r>
        <w:rPr>
          <w:rFonts w:ascii="Arial" w:cs="Arial" w:eastAsia="Arial" w:hAnsi="Arial"/>
          <w:color w:val="555555"/>
          <w:sz w:val="21"/>
          <w:szCs w:val="21"/>
        </w:rPr>
        <w:t xml:space="preserve">Removed all 250 fully-blank rows. Post-cleaning: zero null values in any column.</w:t>
      </w:r>
    </w:p>
    <w:p>
      <w:pPr>
        <w:spacing w:after="80"/>
      </w:pPr>
      <w:r>
        <w:rPr>
          <w:rFonts w:ascii="Arial" w:cs="Arial" w:eastAsia="Arial" w:hAnsi="Arial"/>
          <w:b/>
          <w:bCs/>
          <w:color w:val="111111"/>
          <w:sz w:val="21"/>
          <w:szCs w:val="21"/>
        </w:rPr>
        <w:t xml:space="preserve">Coverage Rate: </w:t>
      </w:r>
      <w:r>
        <w:rPr>
          <w:rFonts w:ascii="Arial" w:cs="Arial" w:eastAsia="Arial" w:hAnsi="Arial"/>
          <w:color w:val="555555"/>
          <w:sz w:val="21"/>
          <w:szCs w:val="21"/>
        </w:rPr>
        <w:t xml:space="preserve">100% population in all 10 columns after cleaning</w:t>
      </w:r>
    </w:p>
    <w:p>
      <w:pPr>
        <w:spacing w:after="80" w:before="80"/>
      </w:pPr>
    </w:p>
    <w:p>
      <w:pPr>
        <w:pStyle w:val="Heading2"/>
        <w:spacing w:after="100" w:before="220"/>
      </w:pPr>
      <w:r>
        <w:rPr>
          <w:rFonts w:ascii="Arial" w:cs="Arial" w:eastAsia="Arial" w:hAnsi="Arial"/>
          <w:b/>
          <w:bCs/>
          <w:color w:val="8E44AD"/>
          <w:sz w:val="26"/>
          <w:szCs w:val="26"/>
        </w:rPr>
        <w:t xml:space="preserve">Domain 4 — Deduplication</w:t>
      </w:r>
    </w:p>
    <w:p>
      <w:pPr>
        <w:spacing w:after="80"/>
      </w:pPr>
      <w:r>
        <w:rPr>
          <w:rFonts w:ascii="Arial" w:cs="Arial" w:eastAsia="Arial" w:hAnsi="Arial"/>
          <w:b/>
          <w:bCs/>
          <w:color w:val="111111"/>
          <w:sz w:val="21"/>
          <w:szCs w:val="21"/>
        </w:rPr>
        <w:t xml:space="preserve">Exact Duplicates: </w:t>
      </w:r>
      <w:r>
        <w:rPr>
          <w:rFonts w:ascii="Arial" w:cs="Arial" w:eastAsia="Arial" w:hAnsi="Arial"/>
          <w:color w:val="555555"/>
          <w:sz w:val="21"/>
          <w:szCs w:val="21"/>
        </w:rPr>
        <w:t xml:space="preserve">250 rows — all were blank rows already removed during D6</w:t>
      </w:r>
    </w:p>
    <w:p>
      <w:pPr>
        <w:spacing w:after="80"/>
      </w:pPr>
      <w:r>
        <w:rPr>
          <w:rFonts w:ascii="Arial" w:cs="Arial" w:eastAsia="Arial" w:hAnsi="Arial"/>
          <w:b/>
          <w:bCs/>
          <w:color w:val="111111"/>
          <w:sz w:val="21"/>
          <w:szCs w:val="21"/>
        </w:rPr>
        <w:t xml:space="preserve">Near-Duplicates: </w:t>
      </w:r>
      <w:r>
        <w:rPr>
          <w:rFonts w:ascii="Arial" w:cs="Arial" w:eastAsia="Arial" w:hAnsi="Arial"/>
          <w:color w:val="555555"/>
          <w:sz w:val="21"/>
          <w:szCs w:val="21"/>
        </w:rPr>
        <w:t xml:space="preserve">131 records sharing the same Brand, Model, and Year within ±5,000 miles of each other</w:t>
      </w:r>
    </w:p>
    <w:p>
      <w:pPr>
        <w:spacing w:after="80"/>
      </w:pPr>
      <w:r>
        <w:rPr>
          <w:rFonts w:ascii="Arial" w:cs="Arial" w:eastAsia="Arial" w:hAnsi="Arial"/>
          <w:b/>
          <w:bCs/>
          <w:color w:val="111111"/>
          <w:sz w:val="21"/>
          <w:szCs w:val="21"/>
        </w:rPr>
        <w:t xml:space="preserve">Near-Dup Method: </w:t>
      </w:r>
      <w:r>
        <w:rPr>
          <w:rFonts w:ascii="Arial" w:cs="Arial" w:eastAsia="Arial" w:hAnsi="Arial"/>
          <w:color w:val="555555"/>
          <w:sz w:val="21"/>
          <w:szCs w:val="21"/>
        </w:rPr>
        <w:t xml:space="preserve">Bucketed Mileage to nearest 5,000; grouped on Brand+Model+Year+bucket; filtered groups with count &gt; 1</w:t>
      </w:r>
    </w:p>
    <w:p>
      <w:pPr>
        <w:spacing w:after="80"/>
      </w:pPr>
      <w:r>
        <w:rPr>
          <w:rFonts w:ascii="Arial" w:cs="Arial" w:eastAsia="Arial" w:hAnsi="Arial"/>
          <w:b/>
          <w:bCs/>
          <w:color w:val="111111"/>
          <w:sz w:val="21"/>
          <w:szCs w:val="21"/>
        </w:rPr>
        <w:t xml:space="preserve">Interpretation: </w:t>
      </w:r>
      <w:r>
        <w:rPr>
          <w:rFonts w:ascii="Arial" w:cs="Arial" w:eastAsia="Arial" w:hAnsi="Arial"/>
          <w:color w:val="555555"/>
          <w:sz w:val="21"/>
          <w:szCs w:val="21"/>
        </w:rPr>
        <w:t xml:space="preserve">Near-duplicates may represent the same physical vehicle re-listed with a slightly different odometer reading, or the same car sold twice. They are flagged rather than deleted to preserve traceability.</w:t>
      </w:r>
    </w:p>
    <w:p>
      <w:pPr>
        <w:spacing w:after="80"/>
      </w:pPr>
      <w:r>
        <w:rPr>
          <w:rFonts w:ascii="Arial" w:cs="Arial" w:eastAsia="Arial" w:hAnsi="Arial"/>
          <w:b/>
          <w:bCs/>
          <w:color w:val="111111"/>
          <w:sz w:val="21"/>
          <w:szCs w:val="21"/>
        </w:rPr>
        <w:t xml:space="preserve">Action: </w:t>
      </w:r>
      <w:r>
        <w:rPr>
          <w:rFonts w:ascii="Arial" w:cs="Arial" w:eastAsia="Arial" w:hAnsi="Arial"/>
          <w:color w:val="555555"/>
          <w:sz w:val="21"/>
          <w:szCs w:val="21"/>
        </w:rPr>
        <w:t xml:space="preserve">250 exact duplicates removed; 131 near-duplicates flagged in Audit_Flag column</w:t>
      </w:r>
    </w:p>
    <w:p>
      <w:pPr>
        <w:spacing w:after="80" w:before="80"/>
      </w:pPr>
    </w:p>
    <w:p>
      <w:pPr>
        <w:pStyle w:val="Heading2"/>
        <w:spacing w:after="100" w:before="220"/>
      </w:pPr>
      <w:r>
        <w:rPr>
          <w:rFonts w:ascii="Arial" w:cs="Arial" w:eastAsia="Arial" w:hAnsi="Arial"/>
          <w:b/>
          <w:bCs/>
          <w:color w:val="2980B9"/>
          <w:sz w:val="26"/>
          <w:szCs w:val="26"/>
        </w:rPr>
        <w:t xml:space="preserve">Domain 2 — Data Formatting &amp; Standardization</w:t>
      </w:r>
    </w:p>
    <w:p>
      <w:pPr>
        <w:spacing w:after="100"/>
      </w:pPr>
      <w:r>
        <w:rPr>
          <w:rFonts w:ascii="Arial" w:cs="Arial" w:eastAsia="Arial" w:hAnsi="Arial"/>
          <w:color w:val="111111"/>
          <w:sz w:val="22"/>
          <w:szCs w:val="22"/>
        </w:rPr>
        <w:t xml:space="preserve">Four categories of formatting issues were identified and corrected:</w:t>
      </w:r>
    </w:p>
    <w:p>
      <w:pPr>
        <w:pStyle w:val="ListParagraph"/>
        <w:numPr>
          <w:ilvl w:val="0"/>
          <w:numId w:val="2"/>
        </w:numPr>
        <w:spacing w:after="70"/>
      </w:pPr>
      <w:r>
        <w:rPr>
          <w:rFonts w:ascii="Arial" w:cs="Arial" w:eastAsia="Arial" w:hAnsi="Arial"/>
          <w:color w:val="111111"/>
          <w:sz w:val="21"/>
          <w:szCs w:val="21"/>
        </w:rPr>
        <w:t xml:space="preserve">Car ID: float64 → int64. Identifiers must be integers — float representation (1.0, 2.0) indicates type coercion failure, likely from CSV I/O with mixed null rows.</w:t>
      </w:r>
    </w:p>
    <w:p>
      <w:pPr>
        <w:pStyle w:val="ListParagraph"/>
        <w:numPr>
          <w:ilvl w:val="0"/>
          <w:numId w:val="2"/>
        </w:numPr>
        <w:spacing w:after="70"/>
      </w:pPr>
      <w:r>
        <w:rPr>
          <w:rFonts w:ascii="Arial" w:cs="Arial" w:eastAsia="Arial" w:hAnsi="Arial"/>
          <w:color w:val="111111"/>
          <w:sz w:val="21"/>
          <w:szCs w:val="21"/>
        </w:rPr>
        <w:t xml:space="preserve">Year: float64 → int64. Calendar years are discrete integers; float storage wastes 4 bytes per record and causes join issues.</w:t>
      </w:r>
    </w:p>
    <w:p>
      <w:pPr>
        <w:pStyle w:val="ListParagraph"/>
        <w:numPr>
          <w:ilvl w:val="0"/>
          <w:numId w:val="2"/>
        </w:numPr>
        <w:spacing w:after="70"/>
      </w:pPr>
      <w:r>
        <w:rPr>
          <w:rFonts w:ascii="Arial" w:cs="Arial" w:eastAsia="Arial" w:hAnsi="Arial"/>
          <w:color w:val="111111"/>
          <w:sz w:val="21"/>
          <w:szCs w:val="21"/>
        </w:rPr>
        <w:t xml:space="preserve">String whitespace: str.strip() applied to Brand, Fuel Type, Transmission, Condition, Model. Prevents silent groupby mismatches (e.g., 'Audi ' ≠ 'Audi').</w:t>
      </w:r>
    </w:p>
    <w:p>
      <w:pPr>
        <w:pStyle w:val="ListParagraph"/>
        <w:numPr>
          <w:ilvl w:val="0"/>
          <w:numId w:val="2"/>
        </w:numPr>
        <w:spacing w:after="70"/>
      </w:pPr>
      <w:r>
        <w:rPr>
          <w:rFonts w:ascii="Arial" w:cs="Arial" w:eastAsia="Arial" w:hAnsi="Arial"/>
          <w:color w:val="111111"/>
          <w:sz w:val="21"/>
          <w:szCs w:val="21"/>
        </w:rPr>
        <w:t xml:space="preserve">Column reorder: Original order placed Model as the last column, which is illogical. Rationalised to Car ID → Brand → Model → Year → Fuel Type → Transmission → Engine Size → Mileage → Condition → Price.</w:t>
      </w:r>
    </w:p>
    <w:p>
      <w:pPr>
        <w:pStyle w:val="ListParagraph"/>
        <w:numPr>
          <w:ilvl w:val="0"/>
          <w:numId w:val="2"/>
        </w:numPr>
        <w:spacing w:after="70"/>
      </w:pPr>
      <w:r>
        <w:rPr>
          <w:rFonts w:ascii="Arial" w:cs="Arial" w:eastAsia="Arial" w:hAnsi="Arial"/>
          <w:color w:val="111111"/>
          <w:sz w:val="21"/>
          <w:szCs w:val="21"/>
        </w:rPr>
        <w:t xml:space="preserve">Encoding check: Zero non-ASCII or hidden characters found — encoding is clean UTF-8.</w:t>
      </w:r>
    </w:p>
    <w:p>
      <w:pPr>
        <w:spacing w:after="80" w:before="80"/>
      </w:pPr>
    </w:p>
    <w:p>
      <w:pPr>
        <w:pStyle w:val="Heading2"/>
        <w:spacing w:after="100" w:before="220"/>
      </w:pPr>
      <w:r>
        <w:rPr>
          <w:rFonts w:ascii="Arial" w:cs="Arial" w:eastAsia="Arial" w:hAnsi="Arial"/>
          <w:b/>
          <w:bCs/>
          <w:color w:val="B7950B"/>
          <w:sz w:val="26"/>
          <w:szCs w:val="26"/>
        </w:rPr>
        <w:t xml:space="preserve">Domain 7 — Categorical Data Quality</w:t>
      </w:r>
    </w:p>
    <w:p>
      <w:pPr>
        <w:pStyle w:val="ListParagraph"/>
        <w:numPr>
          <w:ilvl w:val="0"/>
          <w:numId w:val="2"/>
        </w:numPr>
        <w:spacing w:after="70"/>
      </w:pPr>
      <w:r>
        <w:rPr>
          <w:rFonts w:ascii="Arial" w:cs="Arial" w:eastAsia="Arial" w:hAnsi="Arial"/>
          <w:color w:val="111111"/>
          <w:sz w:val="21"/>
          <w:szCs w:val="21"/>
        </w:rPr>
        <w:t xml:space="preserve">Tesla Fuel Type Correction (221 rows): Tesla is an all-electric manufacturer. 221 Tesla records (70.1% of all Tesla entries) carried incorrect fuel labels: Diesel (79), Hybrid (79), Petrol (63). All corrected to Electric.</w:t>
      </w:r>
    </w:p>
    <w:p>
      <w:pPr>
        <w:pStyle w:val="ListParagraph"/>
        <w:numPr>
          <w:ilvl w:val="0"/>
          <w:numId w:val="2"/>
        </w:numPr>
        <w:spacing w:after="70"/>
      </w:pPr>
      <w:r>
        <w:rPr>
          <w:rFonts w:ascii="Arial" w:cs="Arial" w:eastAsia="Arial" w:hAnsi="Arial"/>
          <w:color w:val="111111"/>
          <w:sz w:val="21"/>
          <w:szCs w:val="21"/>
        </w:rPr>
        <w:t xml:space="preserve">Brand Fuel Purity Score: Post-fix, Tesla achieves 100% fuel purity. All other brands show ~27% dominant fuel type — consistent with a uniform synthetic distribution across 4 fuel types (expected 25%).</w:t>
      </w:r>
    </w:p>
    <w:p>
      <w:pPr>
        <w:pStyle w:val="ListParagraph"/>
        <w:numPr>
          <w:ilvl w:val="0"/>
          <w:numId w:val="2"/>
        </w:numPr>
        <w:spacing w:after="70"/>
      </w:pPr>
      <w:r>
        <w:rPr>
          <w:rFonts w:ascii="Arial" w:cs="Arial" w:eastAsia="Arial" w:hAnsi="Arial"/>
          <w:color w:val="111111"/>
          <w:sz w:val="21"/>
          <w:szCs w:val="21"/>
        </w:rPr>
        <w:t xml:space="preserve">Brand-Model Cross-Contamination: Zero models appear under more than one brand — mapping is intact.</w:t>
      </w:r>
    </w:p>
    <w:p>
      <w:pPr>
        <w:pStyle w:val="ListParagraph"/>
        <w:numPr>
          <w:ilvl w:val="0"/>
          <w:numId w:val="2"/>
        </w:numPr>
        <w:spacing w:after="70"/>
      </w:pPr>
      <w:r>
        <w:rPr>
          <w:rFonts w:ascii="Arial" w:cs="Arial" w:eastAsia="Arial" w:hAnsi="Arial"/>
          <w:color w:val="111111"/>
          <w:sz w:val="21"/>
          <w:szCs w:val="21"/>
        </w:rPr>
        <w:t xml:space="preserve">Categorical Value Validation: All values in Brand, Fuel Type, Transmission, Condition confirmed within allowed sets after Tesla correction.</w:t>
      </w:r>
    </w:p>
    <w:p>
      <w:pPr>
        <w:spacing w:after="80" w:before="80"/>
      </w:pPr>
    </w:p>
    <w:p>
      <w:pPr>
        <w:pStyle w:val="Heading2"/>
        <w:spacing w:after="100" w:before="220"/>
      </w:pPr>
      <w:r>
        <w:rPr>
          <w:rFonts w:ascii="Arial" w:cs="Arial" w:eastAsia="Arial" w:hAnsi="Arial"/>
          <w:b/>
          <w:bCs/>
          <w:color w:val="27AE60"/>
          <w:sz w:val="26"/>
          <w:szCs w:val="26"/>
        </w:rPr>
        <w:t xml:space="preserve">Domain 3 — Relational Integrity</w:t>
      </w:r>
    </w:p>
    <w:p>
      <w:pPr>
        <w:pStyle w:val="ListParagraph"/>
        <w:numPr>
          <w:ilvl w:val="0"/>
          <w:numId w:val="2"/>
        </w:numPr>
        <w:spacing w:after="70"/>
      </w:pPr>
      <w:r>
        <w:rPr>
          <w:rFonts w:ascii="Arial" w:cs="Arial" w:eastAsia="Arial" w:hAnsi="Arial"/>
          <w:color w:val="111111"/>
          <w:sz w:val="21"/>
          <w:szCs w:val="21"/>
        </w:rPr>
        <w:t xml:space="preserve">Car ID Sequence Gaps: 250 missing IDs corresponding precisely to the deleted blank rows. This confirms the ID sequence was assigned pre-corruption and is otherwise sequential and unique.</w:t>
      </w:r>
    </w:p>
    <w:p>
      <w:pPr>
        <w:pStyle w:val="ListParagraph"/>
        <w:numPr>
          <w:ilvl w:val="0"/>
          <w:numId w:val="2"/>
        </w:numPr>
        <w:spacing w:after="70"/>
      </w:pPr>
      <w:r>
        <w:rPr>
          <w:rFonts w:ascii="Arial" w:cs="Arial" w:eastAsia="Arial" w:hAnsi="Arial"/>
          <w:color w:val="111111"/>
          <w:sz w:val="21"/>
          <w:szCs w:val="21"/>
        </w:rPr>
        <w:t xml:space="preserve">Electric Vehicle Engine Size Anomaly: 377 electric cars carry engine sizes above 3.5L. In real-world terms, electric motors do not have engine displacement in the combustion sense. All 775 electric cars have engine size values — this is a cross-field integrity violation.</w:t>
      </w:r>
    </w:p>
    <w:p>
      <w:pPr>
        <w:pStyle w:val="ListParagraph"/>
        <w:numPr>
          <w:ilvl w:val="0"/>
          <w:numId w:val="2"/>
        </w:numPr>
        <w:spacing w:after="70"/>
      </w:pPr>
      <w:r>
        <w:rPr>
          <w:rFonts w:ascii="Arial" w:cs="Arial" w:eastAsia="Arial" w:hAnsi="Arial"/>
          <w:color w:val="111111"/>
          <w:sz w:val="21"/>
          <w:szCs w:val="21"/>
        </w:rPr>
        <w:t xml:space="preserve">Range Validation: All Price values positive, all Years between 2000–2023, all Engine Sizes between 1.0–6.0L, all Mileage values non-negative. Zero range violations.</w:t>
      </w:r>
    </w:p>
    <w:p>
      <w:pPr>
        <w:pStyle w:val="ListParagraph"/>
        <w:numPr>
          <w:ilvl w:val="0"/>
          <w:numId w:val="2"/>
        </w:numPr>
        <w:spacing w:after="70"/>
      </w:pPr>
      <w:r>
        <w:rPr>
          <w:rFonts w:ascii="Arial" w:cs="Arial" w:eastAsia="Arial" w:hAnsi="Arial"/>
          <w:color w:val="111111"/>
          <w:sz w:val="21"/>
          <w:szCs w:val="21"/>
        </w:rPr>
        <w:t xml:space="preserve">Cross-Field Brand-Fuel Integrity: Post-fix, zero brand-fuel contradictions remain.</w:t>
      </w:r>
    </w:p>
    <w:p>
      <w:pPr>
        <w:spacing w:after="80" w:before="80"/>
      </w:pPr>
    </w:p>
    <w:p>
      <w:pPr>
        <w:pStyle w:val="Heading2"/>
        <w:spacing w:after="100" w:before="220"/>
      </w:pPr>
      <w:r>
        <w:rPr>
          <w:rFonts w:ascii="Arial" w:cs="Arial" w:eastAsia="Arial" w:hAnsi="Arial"/>
          <w:b/>
          <w:bCs/>
          <w:color w:val="C0392B"/>
          <w:sz w:val="26"/>
          <w:szCs w:val="26"/>
        </w:rPr>
        <w:t xml:space="preserve">Domain 1 — Statistical Analysis</w:t>
      </w:r>
    </w:p>
    <w:p>
      <w:pPr>
        <w:spacing w:after="80" w:before="180"/>
      </w:pPr>
      <w:r>
        <w:rPr>
          <w:rFonts w:ascii="Arial" w:cs="Arial" w:eastAsia="Arial" w:hAnsi="Arial"/>
          <w:b/>
          <w:bCs/>
          <w:color w:val="555555"/>
          <w:sz w:val="22"/>
          <w:szCs w:val="22"/>
        </w:rPr>
        <w:t xml:space="preserve">Business Rule Violations</w:t>
      </w:r>
    </w:p>
    <w:p>
      <w:pPr>
        <w:spacing w:after="80"/>
      </w:pPr>
      <w:r>
        <w:rPr>
          <w:rFonts w:ascii="Arial" w:cs="Arial" w:eastAsia="Arial" w:hAnsi="Arial"/>
          <w:b/>
          <w:bCs/>
          <w:color w:val="111111"/>
          <w:sz w:val="21"/>
          <w:szCs w:val="21"/>
        </w:rPr>
        <w:t xml:space="preserve">New + Mileage &gt; 50,000 mi: </w:t>
      </w:r>
      <w:r>
        <w:rPr>
          <w:rFonts w:ascii="Arial" w:cs="Arial" w:eastAsia="Arial" w:hAnsi="Arial"/>
          <w:color w:val="555555"/>
          <w:sz w:val="21"/>
          <w:szCs w:val="21"/>
        </w:rPr>
        <w:t xml:space="preserve">592 records — new vehicles should have near-zero mileage</w:t>
      </w:r>
    </w:p>
    <w:p>
      <w:pPr>
        <w:spacing w:after="80"/>
      </w:pPr>
      <w:r>
        <w:rPr>
          <w:rFonts w:ascii="Arial" w:cs="Arial" w:eastAsia="Arial" w:hAnsi="Arial"/>
          <w:b/>
          <w:bCs/>
          <w:color w:val="111111"/>
          <w:sz w:val="21"/>
          <w:szCs w:val="21"/>
        </w:rPr>
        <w:t xml:space="preserve">Used + Mileage &lt; 100 mi: </w:t>
      </w:r>
      <w:r>
        <w:rPr>
          <w:rFonts w:ascii="Arial" w:cs="Arial" w:eastAsia="Arial" w:hAnsi="Arial"/>
          <w:color w:val="555555"/>
          <w:sz w:val="21"/>
          <w:szCs w:val="21"/>
        </w:rPr>
        <w:t xml:space="preserve">2 records — Audi 2006: 15 miles; Mercedes 2012: 45 miles — implausible for a 'Used' vehicle</w:t>
      </w:r>
    </w:p>
    <w:p>
      <w:pPr>
        <w:spacing w:after="80"/>
      </w:pPr>
      <w:r>
        <w:rPr>
          <w:rFonts w:ascii="Arial" w:cs="Arial" w:eastAsia="Arial" w:hAnsi="Arial"/>
          <w:b/>
          <w:bCs/>
          <w:color w:val="111111"/>
          <w:sz w:val="21"/>
          <w:szCs w:val="21"/>
        </w:rPr>
        <w:t xml:space="preserve">Like New + Mileage &gt; 100,000 mi: </w:t>
      </w:r>
      <w:r>
        <w:rPr>
          <w:rFonts w:ascii="Arial" w:cs="Arial" w:eastAsia="Arial" w:hAnsi="Arial"/>
          <w:color w:val="555555"/>
          <w:sz w:val="21"/>
          <w:szCs w:val="21"/>
        </w:rPr>
        <w:t xml:space="preserve">515 records — 'Like New' condition with very high mileage is a contradiction</w:t>
      </w:r>
    </w:p>
    <w:p>
      <w:pPr>
        <w:spacing w:after="60" w:before="60"/>
      </w:pPr>
    </w:p>
    <w:p>
      <w:pPr>
        <w:spacing w:after="80" w:before="180"/>
      </w:pPr>
      <w:r>
        <w:rPr>
          <w:rFonts w:ascii="Arial" w:cs="Arial" w:eastAsia="Arial" w:hAnsi="Arial"/>
          <w:b/>
          <w:bCs/>
          <w:color w:val="555555"/>
          <w:sz w:val="22"/>
          <w:szCs w:val="22"/>
        </w:rPr>
        <w:t xml:space="preserve">Distribution Analysis — The Synthetic Dataset Signature</w:t>
      </w:r>
    </w:p>
    <w:p>
      <w:pPr>
        <w:spacing w:after="100"/>
      </w:pPr>
      <w:r>
        <w:rPr>
          <w:rFonts w:ascii="Arial" w:cs="Arial" w:eastAsia="Arial" w:hAnsi="Arial"/>
          <w:b/>
          <w:bCs/>
          <w:color w:val="111111"/>
          <w:sz w:val="22"/>
          <w:szCs w:val="22"/>
        </w:rPr>
        <w:t xml:space="preserve">This is the most analytically significant finding in the audit:</w:t>
      </w:r>
    </w:p>
    <w:p>
      <w:pPr>
        <w:pStyle w:val="ListParagraph"/>
        <w:numPr>
          <w:ilvl w:val="0"/>
          <w:numId w:val="2"/>
        </w:numPr>
        <w:spacing w:after="70"/>
      </w:pPr>
      <w:r>
        <w:rPr>
          <w:rFonts w:ascii="Arial" w:cs="Arial" w:eastAsia="Arial" w:hAnsi="Arial"/>
          <w:color w:val="111111"/>
          <w:sz w:val="21"/>
          <w:szCs w:val="21"/>
        </w:rPr>
        <w:t xml:space="preserve">Kurtosis = −1.2 on Price, Mileage, Engine Size, and Year simultaneously. A perfectly uniform distribution has kurtosis = exactly −1.2. No Z-score or IQR outliers exist because there are none — the data was uniformly distributed by design.</w:t>
      </w:r>
    </w:p>
    <w:p>
      <w:pPr>
        <w:pStyle w:val="ListParagraph"/>
        <w:numPr>
          <w:ilvl w:val="0"/>
          <w:numId w:val="2"/>
        </w:numPr>
        <w:spacing w:after="70"/>
      </w:pPr>
      <w:r>
        <w:rPr>
          <w:rFonts w:ascii="Arial" w:cs="Arial" w:eastAsia="Arial" w:hAnsi="Arial"/>
          <w:color w:val="111111"/>
          <w:sz w:val="21"/>
          <w:szCs w:val="21"/>
        </w:rPr>
        <w:t xml:space="preserve">This is statistically impossible in real-world automotive markets. Real car price distributions show heavy right-skew; mileage shows right-skew; engine sizes cluster around 2.0L and 3.5L.</w:t>
      </w:r>
    </w:p>
    <w:p>
      <w:pPr>
        <w:pStyle w:val="ListParagraph"/>
        <w:numPr>
          <w:ilvl w:val="0"/>
          <w:numId w:val="2"/>
        </w:numPr>
        <w:spacing w:after="70"/>
      </w:pPr>
      <w:r>
        <w:rPr>
          <w:rFonts w:ascii="Arial" w:cs="Arial" w:eastAsia="Arial" w:hAnsi="Arial"/>
          <w:color w:val="111111"/>
          <w:sz w:val="21"/>
          <w:szCs w:val="21"/>
        </w:rPr>
        <w:t xml:space="preserve">Conclusion: This dataset was algorithmically generated with uniform random variables. The business-rule violations (New+high-mileage etc.) were deliberately seeded as quality challenges.</w:t>
      </w:r>
    </w:p>
    <w:p>
      <w:pPr>
        <w:spacing w:after="80" w:before="80"/>
      </w:pPr>
    </w:p>
    <w:p>
      <w:pPr>
        <w:pStyle w:val="Heading2"/>
        <w:spacing w:after="100" w:before="220"/>
      </w:pPr>
      <w:r>
        <w:rPr>
          <w:rFonts w:ascii="Arial" w:cs="Arial" w:eastAsia="Arial" w:hAnsi="Arial"/>
          <w:b/>
          <w:bCs/>
          <w:color w:val="D35400"/>
          <w:sz w:val="26"/>
          <w:szCs w:val="26"/>
        </w:rPr>
        <w:t xml:space="preserve">Domain 5 — Visual &amp; Trend Analysis</w:t>
      </w:r>
    </w:p>
    <w:p>
      <w:pPr>
        <w:spacing w:after="80"/>
      </w:pPr>
      <w:r>
        <w:rPr>
          <w:rFonts w:ascii="Arial" w:cs="Arial" w:eastAsia="Arial" w:hAnsi="Arial"/>
          <w:b/>
          <w:bCs/>
          <w:color w:val="111111"/>
          <w:sz w:val="21"/>
          <w:szCs w:val="21"/>
        </w:rPr>
        <w:t xml:space="preserve">Price-Year Correlation: </w:t>
      </w:r>
      <w:r>
        <w:rPr>
          <w:rFonts w:ascii="Arial" w:cs="Arial" w:eastAsia="Arial" w:hAnsi="Arial"/>
          <w:color w:val="555555"/>
          <w:sz w:val="21"/>
          <w:szCs w:val="21"/>
        </w:rPr>
        <w:t xml:space="preserve">-0.377 — real automotive depreciation produces correlations of -0.70 to -0.85. The weak signal here confirms synthetic generation.</w:t>
      </w:r>
    </w:p>
    <w:p>
      <w:pPr>
        <w:spacing w:after="80"/>
      </w:pPr>
      <w:r>
        <w:rPr>
          <w:rFonts w:ascii="Arial" w:cs="Arial" w:eastAsia="Arial" w:hAnsi="Arial"/>
          <w:b/>
          <w:bCs/>
          <w:color w:val="111111"/>
          <w:sz w:val="21"/>
          <w:szCs w:val="21"/>
        </w:rPr>
        <w:t xml:space="preserve">Mileage-Year Correlation: </w:t>
      </w:r>
      <w:r>
        <w:rPr>
          <w:rFonts w:ascii="Arial" w:cs="Arial" w:eastAsia="Arial" w:hAnsi="Arial"/>
          <w:color w:val="555555"/>
          <w:sz w:val="21"/>
          <w:szCs w:val="21"/>
        </w:rPr>
        <w:t xml:space="preserve">-0.007 ≈ 0 — in a real fleet, older cars have substantially more mileage on average. Near-zero correlation is impossible in real data.</w:t>
      </w:r>
    </w:p>
    <w:p>
      <w:pPr>
        <w:spacing w:after="80"/>
      </w:pPr>
      <w:r>
        <w:rPr>
          <w:rFonts w:ascii="Arial" w:cs="Arial" w:eastAsia="Arial" w:hAnsi="Arial"/>
          <w:b/>
          <w:bCs/>
          <w:color w:val="111111"/>
          <w:sz w:val="21"/>
          <w:szCs w:val="21"/>
        </w:rPr>
        <w:t xml:space="preserve">Volume Distribution: </w:t>
      </w:r>
      <w:r>
        <w:rPr>
          <w:rFonts w:ascii="Arial" w:cs="Arial" w:eastAsia="Arial" w:hAnsi="Arial"/>
          <w:color w:val="555555"/>
          <w:sz w:val="21"/>
          <w:szCs w:val="21"/>
        </w:rPr>
        <w:t xml:space="preserve">Record counts are suspiciously uniform across all 23 years (~94/year). Real sales data shows exponential recency bias.</w:t>
      </w:r>
    </w:p>
    <w:p>
      <w:pPr>
        <w:spacing w:after="80"/>
      </w:pPr>
      <w:r>
        <w:rPr>
          <w:rFonts w:ascii="Arial" w:cs="Arial" w:eastAsia="Arial" w:hAnsi="Arial"/>
          <w:b/>
          <w:bCs/>
          <w:color w:val="111111"/>
          <w:sz w:val="21"/>
          <w:szCs w:val="21"/>
        </w:rPr>
        <w:t xml:space="preserve">Anachronistic Records: </w:t>
      </w:r>
      <w:r>
        <w:rPr>
          <w:rFonts w:ascii="Arial" w:cs="Arial" w:eastAsia="Arial" w:hAnsi="Arial"/>
          <w:color w:val="555555"/>
          <w:sz w:val="21"/>
          <w:szCs w:val="21"/>
        </w:rPr>
        <w:t xml:space="preserve">64 pre-2010 cars in 'New' condition priced above $80,000 — temporally inconsistent (a 2000-model car cannot be 'New' in 2026).</w:t>
      </w:r>
    </w:p>
    <w:p>
      <w:pPr>
        <w:spacing w:after="80"/>
      </w:pPr>
      <w:r>
        <w:rPr>
          <w:rFonts w:ascii="Arial" w:cs="Arial" w:eastAsia="Arial" w:hAnsi="Arial"/>
          <w:b/>
          <w:bCs/>
          <w:color w:val="111111"/>
          <w:sz w:val="21"/>
          <w:szCs w:val="21"/>
        </w:rPr>
        <w:t xml:space="preserve">Temporal Ordering: </w:t>
      </w:r>
      <w:r>
        <w:rPr>
          <w:rFonts w:ascii="Arial" w:cs="Arial" w:eastAsia="Arial" w:hAnsi="Arial"/>
          <w:color w:val="555555"/>
          <w:sz w:val="21"/>
          <w:szCs w:val="21"/>
        </w:rPr>
        <w:t xml:space="preserve">No time-series ordering violations detected (Year column is not an event timestamp, so strict ordering is not required).</w:t>
      </w:r>
    </w:p>
    <w:p>
      <w:pPr>
        <w:spacing w:after="160" w:before="160"/>
      </w:pPr>
    </w:p>
    <w:p>
      <w:r>
        <w:br w:type="page"/>
      </w:r>
    </w:p>
    <w:p>
      <w:pPr>
        <w:pStyle w:val="Heading1"/>
        <w:spacing w:after="140" w:before="300"/>
      </w:pPr>
      <w:r>
        <w:rPr>
          <w:rFonts w:ascii="Arial" w:cs="Arial" w:eastAsia="Arial" w:hAnsi="Arial"/>
          <w:b/>
          <w:bCs/>
          <w:color w:val="111111"/>
          <w:sz w:val="32"/>
          <w:szCs w:val="32"/>
        </w:rPr>
        <w:t xml:space="preserve">4.  Creative &amp; Out-of-Box Statistics</w:t>
      </w:r>
    </w:p>
    <w:p>
      <w:pPr>
        <w:pBdr>
          <w:bottom w:val="single" w:color="C0392B" w:sz="6" w:space="1"/>
        </w:pBdr>
        <w:spacing w:after="200"/>
      </w:pPr>
    </w:p>
    <w:p>
      <w:pPr>
        <w:spacing w:after="100"/>
      </w:pPr>
      <w:r>
        <w:rPr>
          <w:rFonts w:ascii="Arial" w:cs="Arial" w:eastAsia="Arial" w:hAnsi="Arial"/>
          <w:color w:val="111111"/>
          <w:sz w:val="22"/>
          <w:szCs w:val="22"/>
        </w:rPr>
        <w:t xml:space="preserve">Beyond the seven standard domains, our team derived eight original metrics to expose hidden data pathologies. These are the differentiating insights that go beyond routine quality checks.</w:t>
      </w:r>
    </w:p>
    <w:p>
      <w:pPr>
        <w:spacing w:after="100" w:before="100"/>
      </w:pPr>
    </w:p>
    <w:p>
      <w:pPr>
        <w:pStyle w:val="Heading2"/>
        <w:spacing w:after="100" w:before="220"/>
      </w:pPr>
      <w:r>
        <w:rPr>
          <w:rFonts w:ascii="Arial" w:cs="Arial" w:eastAsia="Arial" w:hAnsi="Arial"/>
          <w:b/>
          <w:bCs/>
          <w:color w:val="1F618D"/>
          <w:sz w:val="26"/>
          <w:szCs w:val="26"/>
        </w:rPr>
        <w:t xml:space="preserve">C1 — Mileage Realism Index (MRI)</w:t>
      </w:r>
    </w:p>
    <w:p>
      <w:pPr>
        <w:spacing w:after="80"/>
      </w:pPr>
      <w:r>
        <w:rPr>
          <w:rFonts w:ascii="Arial" w:cs="Arial" w:eastAsia="Arial" w:hAnsi="Arial"/>
          <w:b/>
          <w:bCs/>
          <w:color w:val="111111"/>
          <w:sz w:val="21"/>
          <w:szCs w:val="21"/>
        </w:rPr>
        <w:t xml:space="preserve">Formula: </w:t>
      </w:r>
      <w:r>
        <w:rPr>
          <w:rFonts w:ascii="Arial" w:cs="Arial" w:eastAsia="Arial" w:hAnsi="Arial"/>
          <w:color w:val="555555"/>
          <w:sz w:val="21"/>
          <w:szCs w:val="21"/>
        </w:rPr>
        <w:t xml:space="preserve">MRI = Mileage ÷ Car Age (miles per year of vehicle age)</w:t>
      </w:r>
    </w:p>
    <w:p>
      <w:pPr>
        <w:spacing w:after="80"/>
      </w:pPr>
      <w:r>
        <w:rPr>
          <w:rFonts w:ascii="Arial" w:cs="Arial" w:eastAsia="Arial" w:hAnsi="Arial"/>
          <w:b/>
          <w:bCs/>
          <w:color w:val="111111"/>
          <w:sz w:val="21"/>
          <w:szCs w:val="21"/>
        </w:rPr>
        <w:t xml:space="preserve">Threshold: </w:t>
      </w:r>
      <w:r>
        <w:rPr>
          <w:rFonts w:ascii="Arial" w:cs="Arial" w:eastAsia="Arial" w:hAnsi="Arial"/>
          <w:color w:val="555555"/>
          <w:sz w:val="21"/>
          <w:szCs w:val="21"/>
        </w:rPr>
        <w:t xml:space="preserve">&lt; 500 mi/yr = suspiciously underused; &gt; 25,000 mi/yr = suspiciously overused</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62 cars with MRI &lt; 500 mi/yr; 363 cars with MRI &gt; 25,000 mi/yr. All brands have near-identical average MRI (~14,000–15,000 mi/yr) — another uniformity signature.</w:t>
      </w:r>
    </w:p>
    <w:p>
      <w:pPr>
        <w:spacing w:after="80"/>
      </w:pPr>
      <w:r>
        <w:rPr>
          <w:rFonts w:ascii="Arial" w:cs="Arial" w:eastAsia="Arial" w:hAnsi="Arial"/>
          <w:b/>
          <w:bCs/>
          <w:color w:val="111111"/>
          <w:sz w:val="21"/>
          <w:szCs w:val="21"/>
        </w:rPr>
        <w:t xml:space="preserve">Why it matters: </w:t>
      </w:r>
      <w:r>
        <w:rPr>
          <w:rFonts w:ascii="Arial" w:cs="Arial" w:eastAsia="Arial" w:hAnsi="Arial"/>
          <w:color w:val="555555"/>
          <w:sz w:val="21"/>
          <w:szCs w:val="21"/>
        </w:rPr>
        <w:t xml:space="preserve">A car driven 15 miles over 16 years is not merely a used car — it's likely a data error. MRI surfaces these impossible vehicles that condition-based checks miss.</w:t>
      </w:r>
    </w:p>
    <w:p>
      <w:pPr>
        <w:spacing w:after="80" w:before="80"/>
      </w:pPr>
    </w:p>
    <w:p>
      <w:pPr>
        <w:pStyle w:val="Heading2"/>
        <w:spacing w:after="100" w:before="220"/>
      </w:pPr>
      <w:r>
        <w:rPr>
          <w:rFonts w:ascii="Arial" w:cs="Arial" w:eastAsia="Arial" w:hAnsi="Arial"/>
          <w:b/>
          <w:bCs/>
          <w:color w:val="1F618D"/>
          <w:sz w:val="26"/>
          <w:szCs w:val="26"/>
        </w:rPr>
        <w:t xml:space="preserve">C2 — Depreciation Paradox</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Cases where an older car of the same Brand+Model is priced more than 30% above a newer car of the same model</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823 paradox instances detected. Example: Audi A3 (2000) at $77,050 vs Audi A3 (2000) at $38,682 — same year, same model, 99% price premium.</w:t>
      </w:r>
    </w:p>
    <w:p>
      <w:pPr>
        <w:spacing w:after="80"/>
      </w:pPr>
      <w:r>
        <w:rPr>
          <w:rFonts w:ascii="Arial" w:cs="Arial" w:eastAsia="Arial" w:hAnsi="Arial"/>
          <w:b/>
          <w:bCs/>
          <w:color w:val="111111"/>
          <w:sz w:val="21"/>
          <w:szCs w:val="21"/>
        </w:rPr>
        <w:t xml:space="preserve">Why it matters: </w:t>
      </w:r>
      <w:r>
        <w:rPr>
          <w:rFonts w:ascii="Arial" w:cs="Arial" w:eastAsia="Arial" w:hAnsi="Arial"/>
          <w:color w:val="555555"/>
          <w:sz w:val="21"/>
          <w:szCs w:val="21"/>
        </w:rPr>
        <w:t xml:space="preserve">Real markets show monotonic depreciation within a model line. 823 paradox cases (~37% of the dataset) are a strong indicator of synthetic price generation with no depreciation logic.</w:t>
      </w:r>
    </w:p>
    <w:p>
      <w:pPr>
        <w:spacing w:after="80" w:before="80"/>
      </w:pPr>
    </w:p>
    <w:p>
      <w:pPr>
        <w:pStyle w:val="Heading2"/>
        <w:spacing w:after="100" w:before="220"/>
      </w:pPr>
      <w:r>
        <w:rPr>
          <w:rFonts w:ascii="Arial" w:cs="Arial" w:eastAsia="Arial" w:hAnsi="Arial"/>
          <w:b/>
          <w:bCs/>
          <w:color w:val="1F618D"/>
          <w:sz w:val="26"/>
          <w:szCs w:val="26"/>
        </w:rPr>
        <w:t xml:space="preserve">C3 — Brand DNA Fingerprint</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For each brand, the percentage of records matching its most common fuel type (brand 'purity')</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Tesla: 100% Electric (after fix). All other brands: 26–30% purity. In reality, Toyota is predominantly Petrol/Hybrid; BMW is predominantly Petrol/Diesel. The ~27% purity for non-Tesla brands reveals that fuel types were randomly assigned across brands — another synthetic data marker.</w:t>
      </w:r>
    </w:p>
    <w:p>
      <w:pPr>
        <w:spacing w:after="80" w:before="80"/>
      </w:pPr>
    </w:p>
    <w:p>
      <w:pPr>
        <w:pStyle w:val="Heading2"/>
        <w:spacing w:after="100" w:before="220"/>
      </w:pPr>
      <w:r>
        <w:rPr>
          <w:rFonts w:ascii="Arial" w:cs="Arial" w:eastAsia="Arial" w:hAnsi="Arial"/>
          <w:b/>
          <w:bCs/>
          <w:color w:val="1F618D"/>
          <w:sz w:val="26"/>
          <w:szCs w:val="26"/>
        </w:rPr>
        <w:t xml:space="preserve">C4 — Electric Engine Displacement Anomaly</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Electric vehicles with engine size values above 3.5L (combustion-range displacement)</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377 out of 775 electric cars (48.6%) have engine sizes above 3.5L. Electric motors do not have displacement in the traditional sense — any large 'engine size' on an electric vehicle is a relational integrity violation.</w:t>
      </w:r>
    </w:p>
    <w:p>
      <w:pPr>
        <w:spacing w:after="80"/>
      </w:pPr>
      <w:r>
        <w:rPr>
          <w:rFonts w:ascii="Arial" w:cs="Arial" w:eastAsia="Arial" w:hAnsi="Arial"/>
          <w:b/>
          <w:bCs/>
          <w:color w:val="111111"/>
          <w:sz w:val="21"/>
          <w:szCs w:val="21"/>
        </w:rPr>
        <w:t xml:space="preserve">Extended: </w:t>
      </w:r>
      <w:r>
        <w:rPr>
          <w:rFonts w:ascii="Arial" w:cs="Arial" w:eastAsia="Arial" w:hAnsi="Arial"/>
          <w:color w:val="555555"/>
          <w:sz w:val="21"/>
          <w:szCs w:val="21"/>
        </w:rPr>
        <w:t xml:space="preserve">Average engine size across all 4 fuel types is 3.44–3.52L — statistically identical. This proves engine sizes were assigned independently of fuel type (more synthetic evidence).</w:t>
      </w:r>
    </w:p>
    <w:p>
      <w:pPr>
        <w:spacing w:after="80" w:before="80"/>
      </w:pPr>
    </w:p>
    <w:p>
      <w:pPr>
        <w:pStyle w:val="Heading2"/>
        <w:spacing w:after="100" w:before="220"/>
      </w:pPr>
      <w:r>
        <w:rPr>
          <w:rFonts w:ascii="Arial" w:cs="Arial" w:eastAsia="Arial" w:hAnsi="Arial"/>
          <w:b/>
          <w:bCs/>
          <w:color w:val="1F618D"/>
          <w:sz w:val="26"/>
          <w:szCs w:val="26"/>
        </w:rPr>
        <w:t xml:space="preserve">C5 — Price-Condition Drift Index</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Do New &gt; Like New &gt; Used in median price? (as expected in a real market)</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Median prices: New = $52,649; Used = $52,999; Like New = $54,863. Used cars have a higher median than New cars — a market impossibility. The price drift index is inverted.</w:t>
      </w:r>
    </w:p>
    <w:p>
      <w:pPr>
        <w:spacing w:after="80"/>
      </w:pPr>
      <w:r>
        <w:rPr>
          <w:rFonts w:ascii="Arial" w:cs="Arial" w:eastAsia="Arial" w:hAnsi="Arial"/>
          <w:b/>
          <w:bCs/>
          <w:color w:val="111111"/>
          <w:sz w:val="21"/>
          <w:szCs w:val="21"/>
        </w:rPr>
        <w:t xml:space="preserve">Why it matters: </w:t>
      </w:r>
      <w:r>
        <w:rPr>
          <w:rFonts w:ascii="Arial" w:cs="Arial" w:eastAsia="Arial" w:hAnsi="Arial"/>
          <w:color w:val="555555"/>
          <w:sz w:val="21"/>
          <w:szCs w:val="21"/>
        </w:rPr>
        <w:t xml:space="preserve">In real markets, New cars command a 15–30% premium over Used. Here the premium is effectively zero, confirming that Condition had no influence on price assignment.</w:t>
      </w:r>
    </w:p>
    <w:p>
      <w:pPr>
        <w:spacing w:after="80" w:before="80"/>
      </w:pPr>
    </w:p>
    <w:p>
      <w:pPr>
        <w:pStyle w:val="Heading2"/>
        <w:spacing w:after="100" w:before="220"/>
      </w:pPr>
      <w:r>
        <w:rPr>
          <w:rFonts w:ascii="Arial" w:cs="Arial" w:eastAsia="Arial" w:hAnsi="Arial"/>
          <w:b/>
          <w:bCs/>
          <w:color w:val="1F618D"/>
          <w:sz w:val="26"/>
          <w:szCs w:val="26"/>
        </w:rPr>
        <w:t xml:space="preserve">C6 — Condition-Mileage-Year Triangle Score</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A composite 0–100 score measuring internal consistency of Year, Mileage, and Condition per record</w:t>
      </w:r>
    </w:p>
    <w:p>
      <w:pPr>
        <w:spacing w:after="80"/>
      </w:pPr>
      <w:r>
        <w:rPr>
          <w:rFonts w:ascii="Arial" w:cs="Arial" w:eastAsia="Arial" w:hAnsi="Arial"/>
          <w:b/>
          <w:bCs/>
          <w:color w:val="111111"/>
          <w:sz w:val="21"/>
          <w:szCs w:val="21"/>
        </w:rPr>
        <w:t xml:space="preserve">Formula: </w:t>
      </w:r>
      <w:r>
        <w:rPr>
          <w:rFonts w:ascii="Arial" w:cs="Arial" w:eastAsia="Arial" w:hAnsi="Arial"/>
          <w:color w:val="555555"/>
          <w:sz w:val="21"/>
          <w:szCs w:val="21"/>
        </w:rPr>
        <w:t xml:space="preserve">Starts at 100; deductions for: New+age&gt;3yr (-10/yr), New+mileage&gt;1k (-5 per 5k mi), Used+MRI&lt;500 (-25), LikeNew+mileage&gt;80k (-20)</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Mean Triangle Score = 74.4/100; 620 rows scored below 50 (severe inconsistency). BMW leads (75.4); Tesla trails (72.9). No brand achieves a 'clean' baseline — evidence of systemic seeding of quality issues.</w:t>
      </w:r>
    </w:p>
    <w:p>
      <w:pPr>
        <w:spacing w:after="80" w:before="80"/>
      </w:pPr>
    </w:p>
    <w:p>
      <w:pPr>
        <w:pStyle w:val="Heading2"/>
        <w:spacing w:after="100" w:before="220"/>
      </w:pPr>
      <w:r>
        <w:rPr>
          <w:rFonts w:ascii="Arial" w:cs="Arial" w:eastAsia="Arial" w:hAnsi="Arial"/>
          <w:b/>
          <w:bCs/>
          <w:color w:val="1F618D"/>
          <w:sz w:val="26"/>
          <w:szCs w:val="26"/>
        </w:rPr>
        <w:t xml:space="preserve">C7 — Brand Error Rate</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 of records per brand with at least one quality flag across all domains</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Mercedes: 77.3%; Tesla: 76.1%; BMW: 66.3% (best). The error rate range is narrow (66–77%) — consistent with a uniform injection rate rather than brand-specific biases.</w:t>
      </w:r>
    </w:p>
    <w:p>
      <w:pPr>
        <w:spacing w:after="80" w:before="80"/>
      </w:pPr>
    </w:p>
    <w:p>
      <w:pPr>
        <w:pStyle w:val="Heading2"/>
        <w:spacing w:after="100" w:before="220"/>
      </w:pPr>
      <w:r>
        <w:rPr>
          <w:rFonts w:ascii="Arial" w:cs="Arial" w:eastAsia="Arial" w:hAnsi="Arial"/>
          <w:b/>
          <w:bCs/>
          <w:color w:val="1F618D"/>
          <w:sz w:val="26"/>
          <w:szCs w:val="26"/>
        </w:rPr>
        <w:t xml:space="preserve">C8 — Phantom Mileage Detection</w:t>
      </w:r>
    </w:p>
    <w:p>
      <w:pPr>
        <w:spacing w:after="80"/>
      </w:pPr>
      <w:r>
        <w:rPr>
          <w:rFonts w:ascii="Arial" w:cs="Arial" w:eastAsia="Arial" w:hAnsi="Arial"/>
          <w:b/>
          <w:bCs/>
          <w:color w:val="111111"/>
          <w:sz w:val="21"/>
          <w:szCs w:val="21"/>
        </w:rPr>
        <w:t xml:space="preserve">Definition: </w:t>
      </w:r>
      <w:r>
        <w:rPr>
          <w:rFonts w:ascii="Arial" w:cs="Arial" w:eastAsia="Arial" w:hAnsi="Arial"/>
          <w:color w:val="555555"/>
          <w:sz w:val="21"/>
          <w:szCs w:val="21"/>
        </w:rPr>
        <w:t xml:space="preserve">New condition cars with mileage ≥ 50,000 miles — vehicles that are 'New' but have accumulated years of driving</w:t>
      </w:r>
    </w:p>
    <w:p>
      <w:pPr>
        <w:spacing w:after="80"/>
      </w:pPr>
      <w:r>
        <w:rPr>
          <w:rFonts w:ascii="Arial" w:cs="Arial" w:eastAsia="Arial" w:hAnsi="Arial"/>
          <w:b/>
          <w:bCs/>
          <w:color w:val="111111"/>
          <w:sz w:val="21"/>
          <w:szCs w:val="21"/>
        </w:rPr>
        <w:t xml:space="preserve">Finding: </w:t>
      </w:r>
      <w:r>
        <w:rPr>
          <w:rFonts w:ascii="Arial" w:cs="Arial" w:eastAsia="Arial" w:hAnsi="Arial"/>
          <w:color w:val="555555"/>
          <w:sz w:val="21"/>
          <w:szCs w:val="21"/>
        </w:rPr>
        <w:t xml:space="preserve">592 out of 735 New cars (80.5%) have phantom mileage. Fewer than 3 New cars have mileage below 100 miles (the realistic baseline). The 'New' label in this dataset is effectively meaningless as a mileage indicator.</w:t>
      </w:r>
    </w:p>
    <w:p>
      <w:pPr>
        <w:spacing w:after="160" w:before="160"/>
      </w:pPr>
    </w:p>
    <w:p>
      <w:r>
        <w:br w:type="page"/>
      </w:r>
    </w:p>
    <w:p>
      <w:pPr>
        <w:pStyle w:val="Heading1"/>
        <w:spacing w:after="140" w:before="300"/>
      </w:pPr>
      <w:r>
        <w:rPr>
          <w:rFonts w:ascii="Arial" w:cs="Arial" w:eastAsia="Arial" w:hAnsi="Arial"/>
          <w:b/>
          <w:bCs/>
          <w:color w:val="111111"/>
          <w:sz w:val="32"/>
          <w:szCs w:val="32"/>
        </w:rPr>
        <w:t xml:space="preserve">5.  Complete Audit Log</w:t>
      </w:r>
    </w:p>
    <w:p>
      <w:pPr>
        <w:pBdr>
          <w:bottom w:val="single" w:color="C0392B" w:sz="6" w:space="1"/>
        </w:pBdr>
        <w:spacing w:after="200"/>
      </w:pPr>
    </w:p>
    <w:p>
      <w:pPr>
        <w:spacing w:after="100"/>
      </w:pPr>
      <w:r>
        <w:rPr>
          <w:rFonts w:ascii="Arial" w:cs="Arial" w:eastAsia="Arial" w:hAnsi="Arial"/>
          <w:color w:val="111111"/>
          <w:sz w:val="22"/>
          <w:szCs w:val="22"/>
        </w:rPr>
        <w:t xml:space="preserve">All 19 quality checks performed across the 7 domains, with findings and actions: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000"/>
        <w:gridCol w:w="1200"/>
        <w:gridCol w:w="2060"/>
      </w:tblGrid>
      <w:tr>
        <w:trPr>
          <w:tblHeader/>
        </w:trPr>
        <w:tc>
          <w:tcPr>
            <w:tcW w:type="dxa" w:w="500"/>
            <w:tcBorders>
              <w:top w:val="single" w:color="1A1D2E" w:sz="4"/>
              <w:left w:val="single" w:color="1A1D2E" w:sz="4"/>
              <w:bottom w:val="single" w:color="1A1D2E" w:sz="4"/>
              <w:right w:val="single" w:color="1A1D2E" w:sz="4"/>
            </w:tcBorders>
            <w:shd w:fill="1A1D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600"/>
            <w:tcBorders>
              <w:top w:val="single" w:color="1A1D2E" w:sz="4"/>
              <w:left w:val="single" w:color="1A1D2E" w:sz="4"/>
              <w:bottom w:val="single" w:color="1A1D2E" w:sz="4"/>
              <w:right w:val="single" w:color="1A1D2E" w:sz="4"/>
            </w:tcBorders>
            <w:shd w:fill="1A1D2E"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4000"/>
            <w:tcBorders>
              <w:top w:val="single" w:color="1A1D2E" w:sz="4"/>
              <w:left w:val="single" w:color="1A1D2E" w:sz="4"/>
              <w:bottom w:val="single" w:color="1A1D2E" w:sz="4"/>
              <w:right w:val="single" w:color="1A1D2E" w:sz="4"/>
            </w:tcBorders>
            <w:shd w:fill="1A1D2E" w:val="clear"/>
            <w:tcMar>
              <w:top w:type="dxa" w:w="80"/>
              <w:left w:type="dxa" w:w="120"/>
              <w:bottom w:type="dxa" w:w="80"/>
              <w:right w:type="dxa" w:w="120"/>
            </w:tcMar>
          </w:tcPr>
          <w:p>
            <w:r>
              <w:rPr>
                <w:rFonts w:ascii="Arial" w:cs="Arial" w:eastAsia="Arial" w:hAnsi="Arial"/>
                <w:b/>
                <w:bCs/>
                <w:color w:val="FFFFFF"/>
                <w:sz w:val="19"/>
                <w:szCs w:val="19"/>
              </w:rPr>
              <w:t xml:space="preserve">Issue Identified</w:t>
            </w:r>
          </w:p>
        </w:tc>
        <w:tc>
          <w:tcPr>
            <w:tcW w:type="dxa" w:w="1200"/>
            <w:tcBorders>
              <w:top w:val="single" w:color="1A1D2E" w:sz="4"/>
              <w:left w:val="single" w:color="1A1D2E" w:sz="4"/>
              <w:bottom w:val="single" w:color="1A1D2E" w:sz="4"/>
              <w:right w:val="single" w:color="1A1D2E" w:sz="4"/>
            </w:tcBorders>
            <w:shd w:fill="1A1D2E"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2060"/>
            <w:tcBorders>
              <w:top w:val="single" w:color="1A1D2E" w:sz="4"/>
              <w:left w:val="single" w:color="1A1D2E" w:sz="4"/>
              <w:bottom w:val="single" w:color="1A1D2E" w:sz="4"/>
              <w:right w:val="single" w:color="1A1D2E" w:sz="4"/>
            </w:tcBorders>
            <w:shd w:fill="1A1D2E"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D6</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250 fully blank rows — all 10 columns null simultaneously</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250</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REMOVED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D4</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250 exact duplicate rows (blank)</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250</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REMOVED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D4</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131 near-duplicates: same Brand+Model+Year ±5k miles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131</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4</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D2</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Car ID stored as float64 (should be int primary key)</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2,250</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Cast int64</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D2</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Year stored as float64 (should be integer year)</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2,250</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Cast int64</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6</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D2</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Whitespace risk in 5 categorical columns</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5 cols</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str.strip()</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7</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D2</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Illogical column order (Model was last)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Reordered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8</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D7</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221 Tesla rows: Diesel/Petrol/Hybrid label — Tesla is electric-only</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221</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 Electric</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9</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D7</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Brand-Model cross-contamination check</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0</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All clear</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10</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D3</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250 Car ID sequence gaps (from deleted rows)</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250</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Documented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11</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D3</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377 Electric vehicles with Engine Size &gt; 3.5L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377</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12</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D3</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Range checks: Price, Year, Engine Size</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0</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All passed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D1</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592 'New' cars with Mileage &gt; 50,000 miles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592</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14</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D1</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 'Used' cars with Mileage &lt; 100 miles</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2</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D1</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515 'Like New' cars with Mileage &gt; 100,000 miles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515</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16</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D1</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Kurtosis = −1.2 on all 4 numeric cols (uniform distribution)</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4 cols</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Documented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17</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D5</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Price-Year correlation = −0.38 (too weak for real depreciation)</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Documented</w:t>
            </w:r>
          </w:p>
        </w:tc>
      </w:tr>
      <w:tr>
        <w:tc>
          <w:tcPr>
            <w:tcW w:type="dxa" w:w="5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18</w:t>
            </w:r>
          </w:p>
        </w:tc>
        <w:tc>
          <w:tcPr>
            <w:tcW w:type="dxa" w:w="16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D5</w:t>
            </w:r>
          </w:p>
        </w:tc>
        <w:tc>
          <w:tcPr>
            <w:tcW w:type="dxa" w:w="40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Mileage-Year correlation = −0.007 (near zero — anomalous)</w:t>
            </w:r>
          </w:p>
        </w:tc>
        <w:tc>
          <w:tcPr>
            <w:tcW w:type="dxa" w:w="12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1</w:t>
            </w:r>
          </w:p>
        </w:tc>
        <w:tc>
          <w:tcPr>
            <w:tcW w:type="dxa" w:w="20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111111"/>
                <w:sz w:val="17"/>
                <w:szCs w:val="17"/>
              </w:rPr>
              <w:t xml:space="preserve">Documented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19</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D5</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64 pre-2010 'New' cars priced above $80,000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64</w:t>
            </w:r>
          </w:p>
        </w:tc>
        <w:tc>
          <w:tcPr>
            <w:tcW w:type="dxa" w:w="2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FLAGGED</w:t>
            </w:r>
          </w:p>
        </w:tc>
      </w:tr>
    </w:tbl>
    <w:p>
      <w:pPr>
        <w:spacing w:after="160" w:before="160"/>
      </w:pPr>
    </w:p>
    <w:p>
      <w:pPr>
        <w:pStyle w:val="Heading1"/>
        <w:spacing w:after="140" w:before="300"/>
      </w:pPr>
      <w:r>
        <w:rPr>
          <w:rFonts w:ascii="Arial" w:cs="Arial" w:eastAsia="Arial" w:hAnsi="Arial"/>
          <w:b/>
          <w:bCs/>
          <w:color w:val="111111"/>
          <w:sz w:val="32"/>
          <w:szCs w:val="32"/>
        </w:rPr>
        <w:t xml:space="preserve">6.  Deliverables</w:t>
      </w:r>
    </w:p>
    <w:p>
      <w:pPr>
        <w:pBdr>
          <w:bottom w:val="single" w:color="C0392B" w:sz="6" w:space="1"/>
        </w:pBdr>
        <w:spacing w:after="200"/>
      </w:pPr>
    </w:p>
    <w:p>
      <w:pPr>
        <w:pStyle w:val="ListParagraph"/>
        <w:numPr>
          <w:ilvl w:val="0"/>
          <w:numId w:val="2"/>
        </w:numPr>
        <w:spacing w:after="70"/>
      </w:pPr>
      <w:r>
        <w:rPr>
          <w:rFonts w:ascii="Arial" w:cs="Arial" w:eastAsia="Arial" w:hAnsi="Arial"/>
          <w:color w:val="111111"/>
          <w:sz w:val="21"/>
          <w:szCs w:val="21"/>
        </w:rPr>
        <w:t xml:space="preserve">car_price_cleaned.csv — Cleaned dataset: 2,250 rows × 14 columns (original 10 + Car_Age, MRI, Triangle_Score, Audit_Flag)</w:t>
      </w:r>
    </w:p>
    <w:p>
      <w:pPr>
        <w:pStyle w:val="ListParagraph"/>
        <w:numPr>
          <w:ilvl w:val="0"/>
          <w:numId w:val="2"/>
        </w:numPr>
        <w:spacing w:after="70"/>
      </w:pPr>
      <w:r>
        <w:rPr>
          <w:rFonts w:ascii="Arial" w:cs="Arial" w:eastAsia="Arial" w:hAnsi="Arial"/>
          <w:color w:val="111111"/>
          <w:sz w:val="21"/>
          <w:szCs w:val="21"/>
        </w:rPr>
        <w:t xml:space="preserve">DataHeist_Visual_Dashboard.html — Interactive dashboard: 7 domain sections, 22 charts, 8 creative stat visualisations</w:t>
      </w:r>
    </w:p>
    <w:p>
      <w:pPr>
        <w:pStyle w:val="ListParagraph"/>
        <w:numPr>
          <w:ilvl w:val="0"/>
          <w:numId w:val="2"/>
        </w:numPr>
        <w:spacing w:after="70"/>
      </w:pPr>
      <w:r>
        <w:rPr>
          <w:rFonts w:ascii="Arial" w:cs="Arial" w:eastAsia="Arial" w:hAnsi="Arial"/>
          <w:color w:val="111111"/>
          <w:sz w:val="21"/>
          <w:szCs w:val="21"/>
        </w:rPr>
        <w:t xml:space="preserve">DataHeist_Technical_Report.docx — This report</w:t>
      </w:r>
    </w:p>
    <w:p>
      <w:pPr>
        <w:pStyle w:val="ListParagraph"/>
        <w:numPr>
          <w:ilvl w:val="0"/>
          <w:numId w:val="2"/>
        </w:numPr>
        <w:spacing w:after="70"/>
      </w:pPr>
      <w:r>
        <w:rPr>
          <w:rFonts w:ascii="Arial" w:cs="Arial" w:eastAsia="Arial" w:hAnsi="Arial"/>
          <w:color w:val="111111"/>
          <w:sz w:val="21"/>
          <w:szCs w:val="21"/>
        </w:rPr>
        <w:t xml:space="preserve">audit_log.csv — Machine-readable audit log</w:t>
      </w:r>
    </w:p>
    <w:p>
      <w:pPr>
        <w:spacing w:after="200" w:before="200"/>
      </w:pPr>
    </w:p>
    <w:p>
      <w:pPr>
        <w:pBdr>
          <w:bottom w:val="single" w:color="C0392B" w:sz="6" w:space="1"/>
        </w:pBdr>
        <w:spacing w:after="200"/>
      </w:pPr>
    </w:p>
    <w:p>
      <w:pPr>
        <w:spacing w:after="60"/>
        <w:jc w:val="center"/>
      </w:pPr>
      <w:r>
        <w:rPr>
          <w:rFonts w:ascii="Arial" w:cs="Arial" w:eastAsia="Arial" w:hAnsi="Arial"/>
          <w:color w:val="888888"/>
          <w:sz w:val="19"/>
          <w:szCs w:val="19"/>
        </w:rPr>
        <w:t xml:space="preserve">Submitted to battleofminds.vercel.app  |  DATA HEIST  |  Rishihood University  |  April 17,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jc w:val="center"/>
    </w:pPr>
    <w:r>
      <w:rPr>
        <w:rFonts w:ascii="Arial" w:cs="Arial" w:eastAsia="Arial" w:hAnsi="Arial"/>
        <w:color w:val="888888"/>
        <w:sz w:val="17"/>
        <w:szCs w:val="17"/>
      </w:rPr>
      <w:t xml:space="preserve">DATA HEIST Competition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6"/>
      </w:pBdr>
      <w:spacing w:after="80"/>
    </w:pPr>
    <w:r>
      <w:rPr>
        <w:rFonts w:ascii="Arial" w:cs="Arial" w:eastAsia="Arial" w:hAnsi="Arial"/>
        <w:b/>
        <w:bCs/>
        <w:color w:val="C0392B"/>
        <w:sz w:val="17"/>
        <w:szCs w:val="17"/>
      </w:rPr>
      <w:t xml:space="preserve">DATA HEIST  |  Stage 4 Technical Report — All 7 Domains</w:t>
    </w:r>
    <w:r>
      <w:rPr>
        <w:rFonts w:ascii="Arial" w:cs="Arial" w:eastAsia="Arial" w:hAnsi="Arial"/>
        <w:color w:val="888888"/>
        <w:sz w:val="17"/>
        <w:szCs w:val="17"/>
      </w:rPr>
      <w:t xml:space="preserve">   Car Price Prediction Dataset  |  Rishihood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2026-04-17T11:00:52.684Z</dcterms:created>
  <dcterms:modified xsi:type="dcterms:W3CDTF">2026-04-17T11:00:52.684Z</dcterms:modified>
</cp:coreProperties>
</file>

<file path=docProps/custom.xml><?xml version="1.0" encoding="utf-8"?>
<Properties xmlns="http://schemas.openxmlformats.org/officeDocument/2006/custom-properties" xmlns:vt="http://schemas.openxmlformats.org/officeDocument/2006/docPropsVTypes"/>
</file>