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洲际油气 (600759) 深度研究报告</w:t>
      </w:r>
    </w:p>
    <w:p>
      <w:pPr>
        <w:jc w:val="center"/>
      </w:pPr>
      <w:r>
        <w:rPr>
          <w:i/>
        </w:rPr>
        <w:t>深度研究 · 投资决策参考</w:t>
      </w:r>
    </w:p>
    <w:p>
      <w:r>
        <w:t>报告日期：2026 年 3 月 10 日</w:t>
      </w:r>
    </w:p>
    <w:p>
      <w:r>
        <w:t>分析模型：qwen3-max-2026-01-23</w:t>
      </w:r>
    </w:p>
    <w:p>
      <w:pPr>
        <w:pStyle w:val="Heading1"/>
      </w:pPr>
      <w:r>
        <w:t>📌 核心结论</w:t>
      </w:r>
    </w:p>
    <w:p>
      <w:r>
        <w:rPr>
          <w:b/>
        </w:rPr>
        <w:t>短期：</w:t>
      </w:r>
      <w:r>
        <w:t xml:space="preserve">高风险规避 | </w:t>
      </w:r>
      <w:r>
        <w:rPr>
          <w:b/>
        </w:rPr>
        <w:t>中期：</w:t>
      </w:r>
      <w:r>
        <w:t xml:space="preserve">观望等待 | </w:t>
      </w:r>
      <w:r>
        <w:rPr>
          <w:b/>
        </w:rPr>
        <w:t>长期：</w:t>
      </w:r>
      <w:r>
        <w:t>资产价值有支撑，但需验证兑现能力</w:t>
      </w:r>
    </w:p>
    <w:p>
      <w:r>
        <w:t>当前股价已严重透支预期，主力资金出逃 + 业绩大幅下滑 + 估值泡沫三重压力下，短期回调风险极高。但公司核心资产质量优质，若伊拉克项目和氦气项目顺利投产，2027 年存在价值重估机会。</w:t>
      </w:r>
    </w:p>
    <w:p>
      <w:pPr>
        <w:pStyle w:val="Heading1"/>
      </w:pPr>
      <w:r>
        <w:t>🔬 一、核心竞争力分析（三张王牌）</w:t>
      </w:r>
    </w:p>
    <w:p>
      <w:pPr>
        <w:pStyle w:val="Heading2"/>
      </w:pPr>
      <w:r>
        <w:t>王牌 1：哈萨克斯坦低成本油田（现金流基石）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数据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行业对比</w:t>
            </w:r>
          </w:p>
        </w:tc>
      </w:tr>
      <w:tr>
        <w:tc>
          <w:tcPr>
            <w:tcW w:type="dxa" w:w="2880"/>
          </w:tcPr>
          <w:p>
            <w:r>
              <w:t>马腾油田探明储量</w:t>
            </w:r>
          </w:p>
        </w:tc>
        <w:tc>
          <w:tcPr>
            <w:tcW w:type="dxa" w:w="2880"/>
          </w:tcPr>
          <w:p>
            <w:r>
              <w:t>1.07 亿桶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克山油田探明储量</w:t>
            </w:r>
          </w:p>
        </w:tc>
        <w:tc>
          <w:tcPr>
            <w:tcW w:type="dxa" w:w="2880"/>
          </w:tcPr>
          <w:p>
            <w:r>
              <w:t>1.11 亿桶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操作成本</w:t>
            </w:r>
          </w:p>
        </w:tc>
        <w:tc>
          <w:tcPr>
            <w:tcW w:type="dxa" w:w="2880"/>
          </w:tcPr>
          <w:p>
            <w:r>
              <w:t>6-10 美元/桶</w:t>
            </w:r>
          </w:p>
        </w:tc>
        <w:tc>
          <w:tcPr>
            <w:tcW w:type="dxa" w:w="2880"/>
          </w:tcPr>
          <w:p>
            <w:r>
              <w:t>行业平均 30-40 美元</w:t>
            </w:r>
          </w:p>
        </w:tc>
      </w:tr>
      <w:tr>
        <w:tc>
          <w:tcPr>
            <w:tcW w:type="dxa" w:w="2880"/>
          </w:tcPr>
          <w:p>
            <w:r>
              <w:t>采收率</w:t>
            </w:r>
          </w:p>
        </w:tc>
        <w:tc>
          <w:tcPr>
            <w:tcW w:type="dxa" w:w="2880"/>
          </w:tcPr>
          <w:p>
            <w:r>
              <w:t>42%</w:t>
            </w:r>
          </w:p>
        </w:tc>
        <w:tc>
          <w:tcPr>
            <w:tcW w:type="dxa" w:w="2880"/>
          </w:tcPr>
          <w:p>
            <w:r>
              <w:t>行业平均 34%</w:t>
            </w:r>
          </w:p>
        </w:tc>
      </w:tr>
    </w:tbl>
    <w:p>
      <w:r>
        <w:t>关键洞察：只要油价维持在 60 美元以上，公司就能盈利。这是公司穿越周期的核心护城河。</w:t>
      </w:r>
    </w:p>
    <w:p>
      <w:pPr>
        <w:pStyle w:val="Heading2"/>
      </w:pPr>
      <w:r>
        <w:t>王牌 2：伊拉克高增长项目（2027 年投产）</w:t>
      </w:r>
    </w:p>
    <w:p>
      <w:r>
        <w:t>• 南巴士拉项目：地质储量 80 亿桶，规划产能 10 万桶/日</w:t>
      </w:r>
    </w:p>
    <w:p>
      <w:r>
        <w:t>• 配套炼油厂 20 万桶/日 + 650MW 电厂</w:t>
      </w:r>
    </w:p>
    <w:p>
      <w:r>
        <w:t>• 总投资 12.66 亿美元，公司持股 67%</w:t>
      </w:r>
    </w:p>
    <w:p>
      <w:r>
        <w:t>• 2027 年达产后，业绩有望翻倍</w:t>
      </w:r>
    </w:p>
    <w:p>
      <w:pPr>
        <w:pStyle w:val="Heading2"/>
      </w:pPr>
      <w:r>
        <w:t>王牌 3：苏克气田氦气资源（战略稀缺性）</w:t>
      </w:r>
    </w:p>
    <w:p>
      <w:r>
        <w:t>• 氦气可采储量：13.01 亿立方米</w:t>
      </w:r>
    </w:p>
    <w:p>
      <w:r>
        <w:t>• 相当于中国已探明总量的 118%</w:t>
      </w:r>
    </w:p>
    <w:p>
      <w:r>
        <w:t>• 2027 年投产，年产能 1000 万立方米</w:t>
      </w:r>
    </w:p>
    <w:p>
      <w:r>
        <w:t>• 客户锁定中芯国际等，年收益预计 5.25 亿元</w:t>
      </w:r>
    </w:p>
    <w:p>
      <w:r>
        <w:t>• 氦气是"卡脖子"战略资源，价格刚性强</w:t>
      </w:r>
    </w:p>
    <w:p>
      <w:pPr>
        <w:pStyle w:val="Heading1"/>
      </w:pPr>
      <w:r>
        <w:t>📉 二、财务健康度分析</w:t>
      </w:r>
    </w:p>
    <w:p>
      <w:pPr>
        <w:pStyle w:val="Heading2"/>
      </w:pPr>
      <w:r>
        <w:t>债务重整效果显著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2022 年末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2025 年 Q3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变化</w:t>
            </w:r>
          </w:p>
        </w:tc>
      </w:tr>
      <w:tr>
        <w:tc>
          <w:tcPr>
            <w:tcW w:type="dxa" w:w="2160"/>
          </w:tcPr>
          <w:p>
            <w:r>
              <w:t>资产负债率</w:t>
            </w:r>
          </w:p>
        </w:tc>
        <w:tc>
          <w:tcPr>
            <w:tcW w:type="dxa" w:w="2160"/>
          </w:tcPr>
          <w:p>
            <w:r>
              <w:t>69.21%</w:t>
            </w:r>
          </w:p>
        </w:tc>
        <w:tc>
          <w:tcPr>
            <w:tcW w:type="dxa" w:w="2160"/>
          </w:tcPr>
          <w:p>
            <w:r>
              <w:t>28.74%</w:t>
            </w:r>
          </w:p>
        </w:tc>
        <w:tc>
          <w:tcPr>
            <w:tcW w:type="dxa" w:w="2160"/>
          </w:tcPr>
          <w:p>
            <w:r>
              <w:t>-40.47pct</w:t>
            </w:r>
          </w:p>
        </w:tc>
      </w:tr>
      <w:tr>
        <w:tc>
          <w:tcPr>
            <w:tcW w:type="dxa" w:w="2160"/>
          </w:tcPr>
          <w:p>
            <w:r>
              <w:t>财务费用</w:t>
            </w:r>
          </w:p>
        </w:tc>
        <w:tc>
          <w:tcPr>
            <w:tcW w:type="dxa" w:w="2160"/>
          </w:tcPr>
          <w:p>
            <w:r>
              <w:t>4.24 亿元</w:t>
            </w:r>
          </w:p>
        </w:tc>
        <w:tc>
          <w:tcPr>
            <w:tcW w:type="dxa" w:w="2160"/>
          </w:tcPr>
          <w:p>
            <w:r>
              <w:t>0.88 亿元</w:t>
            </w:r>
          </w:p>
        </w:tc>
        <w:tc>
          <w:tcPr>
            <w:tcW w:type="dxa" w:w="2160"/>
          </w:tcPr>
          <w:p>
            <w:r>
              <w:t>-79.26%</w:t>
            </w:r>
          </w:p>
        </w:tc>
      </w:tr>
      <w:tr>
        <w:tc>
          <w:tcPr>
            <w:tcW w:type="dxa" w:w="2160"/>
          </w:tcPr>
          <w:p>
            <w:r>
              <w:t>债务清偿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76 亿元</w:t>
            </w:r>
          </w:p>
        </w:tc>
        <w:tc>
          <w:tcPr>
            <w:tcW w:type="dxa" w:w="2160"/>
          </w:tcPr>
          <w:p>
            <w:r>
              <w:t>境内债务基本清偿</w:t>
            </w:r>
          </w:p>
        </w:tc>
      </w:tr>
    </w:tbl>
    <w:p>
      <w:pPr>
        <w:pStyle w:val="Heading2"/>
      </w:pPr>
      <w:r>
        <w:t>但业绩承压明显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报告期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营收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同比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净利润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同比</w:t>
            </w:r>
          </w:p>
        </w:tc>
      </w:tr>
      <w:tr>
        <w:tc>
          <w:tcPr>
            <w:tcW w:type="dxa" w:w="1728"/>
          </w:tcPr>
          <w:p>
            <w:r>
              <w:t>2025 年 Q1-Q3</w:t>
            </w:r>
          </w:p>
        </w:tc>
        <w:tc>
          <w:tcPr>
            <w:tcW w:type="dxa" w:w="1728"/>
          </w:tcPr>
          <w:p>
            <w:r>
              <w:t>15.37 亿</w:t>
            </w:r>
          </w:p>
        </w:tc>
        <w:tc>
          <w:tcPr>
            <w:tcW w:type="dxa" w:w="1728"/>
          </w:tcPr>
          <w:p>
            <w:r>
              <w:t>-19.94%</w:t>
            </w:r>
          </w:p>
        </w:tc>
        <w:tc>
          <w:tcPr>
            <w:tcW w:type="dxa" w:w="1728"/>
          </w:tcPr>
          <w:p>
            <w:r>
              <w:t>8308 万</w:t>
            </w:r>
          </w:p>
        </w:tc>
        <w:tc>
          <w:tcPr>
            <w:tcW w:type="dxa" w:w="1728"/>
          </w:tcPr>
          <w:p>
            <w:r>
              <w:t>-46.61%</w:t>
            </w:r>
          </w:p>
        </w:tc>
      </w:tr>
      <w:tr>
        <w:tc>
          <w:tcPr>
            <w:tcW w:type="dxa" w:w="1728"/>
          </w:tcPr>
          <w:p>
            <w:r>
              <w:t>2024 年全年</w:t>
            </w:r>
          </w:p>
        </w:tc>
        <w:tc>
          <w:tcPr>
            <w:tcW w:type="dxa" w:w="1728"/>
          </w:tcPr>
          <w:p>
            <w:r>
              <w:t>25.48 亿</w:t>
            </w:r>
          </w:p>
        </w:tc>
        <w:tc>
          <w:tcPr>
            <w:tcW w:type="dxa" w:w="1728"/>
          </w:tcPr>
          <w:p>
            <w:r>
              <w:t>-6.56%</w:t>
            </w:r>
          </w:p>
        </w:tc>
        <w:tc>
          <w:tcPr>
            <w:tcW w:type="dxa" w:w="1728"/>
          </w:tcPr>
          <w:p>
            <w:r>
              <w:t>4.88 亿</w:t>
            </w:r>
          </w:p>
        </w:tc>
        <w:tc>
          <w:tcPr>
            <w:tcW w:type="dxa" w:w="1728"/>
          </w:tcPr>
          <w:p>
            <w:r>
              <w:t>-61.61%</w:t>
            </w:r>
          </w:p>
        </w:tc>
      </w:tr>
      <w:tr>
        <w:tc>
          <w:tcPr>
            <w:tcW w:type="dxa" w:w="1728"/>
          </w:tcPr>
          <w:p>
            <w:r>
              <w:t>2025 年全年（预告）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1.05-1.5 亿</w:t>
            </w:r>
          </w:p>
        </w:tc>
        <w:tc>
          <w:tcPr>
            <w:tcW w:type="dxa" w:w="1728"/>
          </w:tcPr>
          <w:p>
            <w:r>
              <w:t>-78% 至 -69%</w:t>
            </w:r>
          </w:p>
        </w:tc>
      </w:tr>
    </w:tbl>
    <w:p>
      <w:pPr>
        <w:pStyle w:val="Heading1"/>
      </w:pPr>
      <w:r>
        <w:t>⚠️ 三、风险因素深度剖析</w:t>
      </w:r>
    </w:p>
    <w:p>
      <w:r>
        <w:rPr>
          <w:b/>
        </w:rPr>
        <w:t>风险 1：估值泡沫严重：</w:t>
      </w:r>
      <w:r>
        <w:t>当前市盈率 (TTM) 74.87 倍，油气行业平均约 15-20 倍</w:t>
      </w:r>
    </w:p>
    <w:p>
      <w:r>
        <w:rPr>
          <w:b/>
        </w:rPr>
        <w:t>风险 2：主力资金持续出逃：</w:t>
      </w:r>
      <w:r>
        <w:t>3 月 10 日主力净流出 8.50 亿元，近 5 天累计净流出 19.07 亿元</w:t>
      </w:r>
    </w:p>
    <w:p>
      <w:r>
        <w:rPr>
          <w:b/>
        </w:rPr>
        <w:t>风险 3：股东违规被立案：</w:t>
      </w:r>
      <w:r>
        <w:t>2025 年 11 月，股东海口东铎违规增持被证监会立案</w:t>
      </w:r>
    </w:p>
    <w:p>
      <w:r>
        <w:rPr>
          <w:b/>
        </w:rPr>
        <w:t>风险 4：国际油价不确定性：</w:t>
      </w:r>
      <w:r>
        <w:t>2026 年布伦特油价预测中枢 55-75 美元/桶</w:t>
      </w:r>
    </w:p>
    <w:p>
      <w:r>
        <w:rPr>
          <w:b/>
        </w:rPr>
        <w:t>风险 5：项目投产延期风险：</w:t>
      </w:r>
      <w:r>
        <w:t>伊拉克项目 2027 年投产是业绩拐点关键</w:t>
      </w:r>
    </w:p>
    <w:p>
      <w:pPr>
        <w:pStyle w:val="Heading1"/>
      </w:pPr>
      <w:r>
        <w:t>🆚 四、同行业对比分析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公司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市盈率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市净率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毛利率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资产负债率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操作成本</w:t>
            </w:r>
          </w:p>
        </w:tc>
      </w:tr>
      <w:tr>
        <w:tc>
          <w:tcPr>
            <w:tcW w:type="dxa" w:w="1440"/>
          </w:tcPr>
          <w:p>
            <w:r>
              <w:t>洲际油气</w:t>
            </w:r>
          </w:p>
        </w:tc>
        <w:tc>
          <w:tcPr>
            <w:tcW w:type="dxa" w:w="1440"/>
          </w:tcPr>
          <w:p>
            <w:r>
              <w:t>74.87 倍</w:t>
            </w:r>
          </w:p>
        </w:tc>
        <w:tc>
          <w:tcPr>
            <w:tcW w:type="dxa" w:w="1440"/>
          </w:tcPr>
          <w:p>
            <w:r>
              <w:t>3.93 倍</w:t>
            </w:r>
          </w:p>
        </w:tc>
        <w:tc>
          <w:tcPr>
            <w:tcW w:type="dxa" w:w="1440"/>
          </w:tcPr>
          <w:p>
            <w:r>
              <w:t>56.44%</w:t>
            </w:r>
          </w:p>
        </w:tc>
        <w:tc>
          <w:tcPr>
            <w:tcW w:type="dxa" w:w="1440"/>
          </w:tcPr>
          <w:p>
            <w:r>
              <w:t>28.74%</w:t>
            </w:r>
          </w:p>
        </w:tc>
        <w:tc>
          <w:tcPr>
            <w:tcW w:type="dxa" w:w="1440"/>
          </w:tcPr>
          <w:p>
            <w:r>
              <w:t>6-10 美元/桶</w:t>
            </w:r>
          </w:p>
        </w:tc>
      </w:tr>
      <w:tr>
        <w:tc>
          <w:tcPr>
            <w:tcW w:type="dxa" w:w="1440"/>
          </w:tcPr>
          <w:p>
            <w:r>
              <w:t>中国石油</w:t>
            </w:r>
          </w:p>
        </w:tc>
        <w:tc>
          <w:tcPr>
            <w:tcW w:type="dxa" w:w="1440"/>
          </w:tcPr>
          <w:p>
            <w:r>
              <w:t>约 12 倍</w:t>
            </w:r>
          </w:p>
        </w:tc>
        <w:tc>
          <w:tcPr>
            <w:tcW w:type="dxa" w:w="1440"/>
          </w:tcPr>
          <w:p>
            <w:r>
              <w:t>0.9 倍</w:t>
            </w:r>
          </w:p>
        </w:tc>
        <w:tc>
          <w:tcPr>
            <w:tcW w:type="dxa" w:w="1440"/>
          </w:tcPr>
          <w:p>
            <w:r>
              <w:t>22.7%</w:t>
            </w:r>
          </w:p>
        </w:tc>
        <w:tc>
          <w:tcPr>
            <w:tcW w:type="dxa" w:w="1440"/>
          </w:tcPr>
          <w:p>
            <w:r>
              <w:t>约 45%</w:t>
            </w:r>
          </w:p>
        </w:tc>
        <w:tc>
          <w:tcPr>
            <w:tcW w:type="dxa" w:w="1440"/>
          </w:tcPr>
          <w:p>
            <w:r>
              <w:t>约 50 美元/桶</w:t>
            </w:r>
          </w:p>
        </w:tc>
      </w:tr>
      <w:tr>
        <w:tc>
          <w:tcPr>
            <w:tcW w:type="dxa" w:w="1440"/>
          </w:tcPr>
          <w:p>
            <w:r>
              <w:t>中国海油</w:t>
            </w:r>
          </w:p>
        </w:tc>
        <w:tc>
          <w:tcPr>
            <w:tcW w:type="dxa" w:w="1440"/>
          </w:tcPr>
          <w:p>
            <w:r>
              <w:t>约 10 倍</w:t>
            </w:r>
          </w:p>
        </w:tc>
        <w:tc>
          <w:tcPr>
            <w:tcW w:type="dxa" w:w="1440"/>
          </w:tcPr>
          <w:p>
            <w:r>
              <w:t>1.5 倍</w:t>
            </w:r>
          </w:p>
        </w:tc>
        <w:tc>
          <w:tcPr>
            <w:tcW w:type="dxa" w:w="1440"/>
          </w:tcPr>
          <w:p>
            <w:r>
              <w:t>约 50%</w:t>
            </w:r>
          </w:p>
        </w:tc>
        <w:tc>
          <w:tcPr>
            <w:tcW w:type="dxa" w:w="1440"/>
          </w:tcPr>
          <w:p>
            <w:r>
              <w:t>约 30%</w:t>
            </w:r>
          </w:p>
        </w:tc>
        <w:tc>
          <w:tcPr>
            <w:tcW w:type="dxa" w:w="1440"/>
          </w:tcPr>
          <w:p>
            <w:r>
              <w:t>27 美元/桶</w:t>
            </w:r>
          </w:p>
        </w:tc>
      </w:tr>
    </w:tbl>
    <w:p>
      <w:pPr>
        <w:pStyle w:val="Heading1"/>
      </w:pPr>
      <w:r>
        <w:t>📈 五、机构观点汇总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机构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评级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目标价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发布日期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核心逻辑</w:t>
            </w:r>
          </w:p>
        </w:tc>
      </w:tr>
      <w:tr>
        <w:tc>
          <w:tcPr>
            <w:tcW w:type="dxa" w:w="1728"/>
          </w:tcPr>
          <w:p>
            <w:r>
              <w:t>申万宏源</w:t>
            </w:r>
          </w:p>
        </w:tc>
        <w:tc>
          <w:tcPr>
            <w:tcW w:type="dxa" w:w="1728"/>
          </w:tcPr>
          <w:p>
            <w:r>
              <w:t>买入</w:t>
            </w:r>
          </w:p>
        </w:tc>
        <w:tc>
          <w:tcPr>
            <w:tcW w:type="dxa" w:w="1728"/>
          </w:tcPr>
          <w:p>
            <w:r>
              <w:t>93.8 元</w:t>
            </w:r>
          </w:p>
        </w:tc>
        <w:tc>
          <w:tcPr>
            <w:tcW w:type="dxa" w:w="1728"/>
          </w:tcPr>
          <w:p>
            <w:r>
              <w:t>2026-01-05</w:t>
            </w:r>
          </w:p>
        </w:tc>
        <w:tc>
          <w:tcPr>
            <w:tcW w:type="dxa" w:w="1728"/>
          </w:tcPr>
          <w:p>
            <w:r>
              <w:t>伊拉克项目投产预期</w:t>
            </w:r>
          </w:p>
        </w:tc>
      </w:tr>
      <w:tr>
        <w:tc>
          <w:tcPr>
            <w:tcW w:type="dxa" w:w="1728"/>
          </w:tcPr>
          <w:p>
            <w:r>
              <w:t>中信证券</w:t>
            </w:r>
          </w:p>
        </w:tc>
        <w:tc>
          <w:tcPr>
            <w:tcW w:type="dxa" w:w="1728"/>
          </w:tcPr>
          <w:p>
            <w:r>
              <w:t>增持</w:t>
            </w:r>
          </w:p>
        </w:tc>
        <w:tc>
          <w:tcPr>
            <w:tcW w:type="dxa" w:w="1728"/>
          </w:tcPr>
          <w:p>
            <w:r>
              <w:t>88 元</w:t>
            </w:r>
          </w:p>
        </w:tc>
        <w:tc>
          <w:tcPr>
            <w:tcW w:type="dxa" w:w="1728"/>
          </w:tcPr>
          <w:p>
            <w:r>
              <w:t>2025-12-23</w:t>
            </w:r>
          </w:p>
        </w:tc>
        <w:tc>
          <w:tcPr>
            <w:tcW w:type="dxa" w:w="1728"/>
          </w:tcPr>
          <w:p>
            <w:r>
              <w:t>低成本优势 + 氦气稀缺性</w:t>
            </w:r>
          </w:p>
        </w:tc>
      </w:tr>
      <w:tr>
        <w:tc>
          <w:tcPr>
            <w:tcW w:type="dxa" w:w="1728"/>
          </w:tcPr>
          <w:p>
            <w:r>
              <w:t>中金公司</w:t>
            </w:r>
          </w:p>
        </w:tc>
        <w:tc>
          <w:tcPr>
            <w:tcW w:type="dxa" w:w="1728"/>
          </w:tcPr>
          <w:p>
            <w:r>
              <w:t>跑赢行业</w:t>
            </w:r>
          </w:p>
        </w:tc>
        <w:tc>
          <w:tcPr>
            <w:tcW w:type="dxa" w:w="1728"/>
          </w:tcPr>
          <w:p>
            <w:r>
              <w:t>89.8 元</w:t>
            </w:r>
          </w:p>
        </w:tc>
        <w:tc>
          <w:tcPr>
            <w:tcW w:type="dxa" w:w="1728"/>
          </w:tcPr>
          <w:p>
            <w:r>
              <w:t>2025-12-25</w:t>
            </w:r>
          </w:p>
        </w:tc>
        <w:tc>
          <w:tcPr>
            <w:tcW w:type="dxa" w:w="1728"/>
          </w:tcPr>
          <w:p>
            <w:r>
              <w:t>业绩拐点临近</w:t>
            </w:r>
          </w:p>
        </w:tc>
      </w:tr>
      <w:tr>
        <w:tc>
          <w:tcPr>
            <w:tcW w:type="dxa" w:w="1728"/>
          </w:tcPr>
          <w:p>
            <w:r>
              <w:t>摩根士丹利</w:t>
            </w:r>
          </w:p>
        </w:tc>
        <w:tc>
          <w:tcPr>
            <w:tcW w:type="dxa" w:w="1728"/>
          </w:tcPr>
          <w:p>
            <w:r>
              <w:t>增持</w:t>
            </w:r>
          </w:p>
        </w:tc>
        <w:tc>
          <w:tcPr>
            <w:tcW w:type="dxa" w:w="1728"/>
          </w:tcPr>
          <w:p>
            <w:r>
              <w:t>85 元</w:t>
            </w:r>
          </w:p>
        </w:tc>
        <w:tc>
          <w:tcPr>
            <w:tcW w:type="dxa" w:w="1728"/>
          </w:tcPr>
          <w:p>
            <w:r>
              <w:t>2025-12-04</w:t>
            </w:r>
          </w:p>
        </w:tc>
        <w:tc>
          <w:tcPr>
            <w:tcW w:type="dxa" w:w="1728"/>
          </w:tcPr>
          <w:p>
            <w:r>
              <w:t>一带一路资产重估</w:t>
            </w:r>
          </w:p>
        </w:tc>
      </w:tr>
    </w:tbl>
    <w:p>
      <w:pPr>
        <w:pStyle w:val="Heading1"/>
      </w:pPr>
      <w:r>
        <w:t>🎯 六、投资策略建议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投资者类型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建议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仓位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入场时机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止损位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目标位</w:t>
            </w:r>
          </w:p>
        </w:tc>
      </w:tr>
      <w:tr>
        <w:tc>
          <w:tcPr>
            <w:tcW w:type="dxa" w:w="1440"/>
          </w:tcPr>
          <w:p>
            <w:r>
              <w:t>保守型</w:t>
            </w:r>
          </w:p>
        </w:tc>
        <w:tc>
          <w:tcPr>
            <w:tcW w:type="dxa" w:w="1440"/>
          </w:tcPr>
          <w:p>
            <w:r>
              <w:t>观望</w:t>
            </w:r>
          </w:p>
        </w:tc>
        <w:tc>
          <w:tcPr>
            <w:tcW w:type="dxa" w:w="1440"/>
          </w:tcPr>
          <w:p>
            <w:r>
              <w:t>0%</w:t>
            </w:r>
          </w:p>
        </w:tc>
        <w:tc>
          <w:tcPr>
            <w:tcW w:type="dxa" w:w="1440"/>
          </w:tcPr>
          <w:p>
            <w:r>
              <w:t>等待 5-6 元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稳健型</w:t>
            </w:r>
          </w:p>
        </w:tc>
        <w:tc>
          <w:tcPr>
            <w:tcW w:type="dxa" w:w="1440"/>
          </w:tcPr>
          <w:p>
            <w:r>
              <w:t>轻仓试探</w:t>
            </w:r>
          </w:p>
        </w:tc>
        <w:tc>
          <w:tcPr>
            <w:tcW w:type="dxa" w:w="1440"/>
          </w:tcPr>
          <w:p>
            <w:r>
              <w:t>5-10%</w:t>
            </w:r>
          </w:p>
        </w:tc>
        <w:tc>
          <w:tcPr>
            <w:tcW w:type="dxa" w:w="1440"/>
          </w:tcPr>
          <w:p>
            <w:r>
              <w:t>分 3 批建仓 (7/6/5 元)</w:t>
            </w:r>
          </w:p>
        </w:tc>
        <w:tc>
          <w:tcPr>
            <w:tcW w:type="dxa" w:w="1440"/>
          </w:tcPr>
          <w:p>
            <w:r>
              <w:t>6 元</w:t>
            </w:r>
          </w:p>
        </w:tc>
        <w:tc>
          <w:tcPr>
            <w:tcW w:type="dxa" w:w="1440"/>
          </w:tcPr>
          <w:p>
            <w:r>
              <w:t>9-10 元</w:t>
            </w:r>
          </w:p>
        </w:tc>
      </w:tr>
      <w:tr>
        <w:tc>
          <w:tcPr>
            <w:tcW w:type="dxa" w:w="1440"/>
          </w:tcPr>
          <w:p>
            <w:r>
              <w:t>激进型</w:t>
            </w:r>
          </w:p>
        </w:tc>
        <w:tc>
          <w:tcPr>
            <w:tcW w:type="dxa" w:w="1440"/>
          </w:tcPr>
          <w:p>
            <w:r>
              <w:t>波段操作</w:t>
            </w:r>
          </w:p>
        </w:tc>
        <w:tc>
          <w:tcPr>
            <w:tcW w:type="dxa" w:w="1440"/>
          </w:tcPr>
          <w:p>
            <w:r>
              <w:t>10-20%</w:t>
            </w:r>
          </w:p>
        </w:tc>
        <w:tc>
          <w:tcPr>
            <w:tcW w:type="dxa" w:w="1440"/>
          </w:tcPr>
          <w:p>
            <w:r>
              <w:t>当前价轻仓</w:t>
            </w:r>
          </w:p>
        </w:tc>
        <w:tc>
          <w:tcPr>
            <w:tcW w:type="dxa" w:w="1440"/>
          </w:tcPr>
          <w:p>
            <w:r>
              <w:t>6.5 元</w:t>
            </w:r>
          </w:p>
        </w:tc>
        <w:tc>
          <w:tcPr>
            <w:tcW w:type="dxa" w:w="1440"/>
          </w:tcPr>
          <w:p>
            <w:r>
              <w:t>8.5-9 元</w:t>
            </w:r>
          </w:p>
        </w:tc>
      </w:tr>
      <w:tr>
        <w:tc>
          <w:tcPr>
            <w:tcW w:type="dxa" w:w="1440"/>
          </w:tcPr>
          <w:p>
            <w:r>
              <w:t>长期价值</w:t>
            </w:r>
          </w:p>
        </w:tc>
        <w:tc>
          <w:tcPr>
            <w:tcW w:type="dxa" w:w="1440"/>
          </w:tcPr>
          <w:p>
            <w:r>
              <w:t>战略配置</w:t>
            </w:r>
          </w:p>
        </w:tc>
        <w:tc>
          <w:tcPr>
            <w:tcW w:type="dxa" w:w="1440"/>
          </w:tcPr>
          <w:p>
            <w:r>
              <w:t>20-30%</w:t>
            </w:r>
          </w:p>
        </w:tc>
        <w:tc>
          <w:tcPr>
            <w:tcW w:type="dxa" w:w="1440"/>
          </w:tcPr>
          <w:p>
            <w:r>
              <w:t>分批建仓 (7/6/5 元)</w:t>
            </w:r>
          </w:p>
        </w:tc>
        <w:tc>
          <w:tcPr>
            <w:tcW w:type="dxa" w:w="1440"/>
          </w:tcPr>
          <w:p>
            <w:r>
              <w:t>4.5 元</w:t>
            </w:r>
          </w:p>
        </w:tc>
        <w:tc>
          <w:tcPr>
            <w:tcW w:type="dxa" w:w="1440"/>
          </w:tcPr>
          <w:p>
            <w:r>
              <w:t>12 元 (2027 年)</w:t>
            </w:r>
          </w:p>
        </w:tc>
      </w:tr>
    </w:tbl>
    <w:p>
      <w:pPr>
        <w:pStyle w:val="Heading1"/>
      </w:pPr>
      <w:r>
        <w:t>📅 七、关键时间节点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事件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影响</w:t>
            </w:r>
          </w:p>
        </w:tc>
      </w:tr>
      <w:tr>
        <w:tc>
          <w:tcPr>
            <w:tcW w:type="dxa" w:w="2880"/>
          </w:tcPr>
          <w:p>
            <w:r>
              <w:t>2026 年 3 月 9 日</w:t>
            </w:r>
          </w:p>
        </w:tc>
        <w:tc>
          <w:tcPr>
            <w:tcW w:type="dxa" w:w="2880"/>
          </w:tcPr>
          <w:p>
            <w:r>
              <w:t>油价调价窗口</w:t>
            </w:r>
          </w:p>
        </w:tc>
        <w:tc>
          <w:tcPr>
            <w:tcW w:type="dxa" w:w="2880"/>
          </w:tcPr>
          <w:p>
            <w:r>
              <w:t>国内油价或上涨</w:t>
            </w:r>
          </w:p>
        </w:tc>
      </w:tr>
      <w:tr>
        <w:tc>
          <w:tcPr>
            <w:tcW w:type="dxa" w:w="2880"/>
          </w:tcPr>
          <w:p>
            <w:r>
              <w:t>2026 年 4 月</w:t>
            </w:r>
          </w:p>
        </w:tc>
        <w:tc>
          <w:tcPr>
            <w:tcW w:type="dxa" w:w="2880"/>
          </w:tcPr>
          <w:p>
            <w:r>
              <w:t>OPEC+ 恢复增产</w:t>
            </w:r>
          </w:p>
        </w:tc>
        <w:tc>
          <w:tcPr>
            <w:tcW w:type="dxa" w:w="2880"/>
          </w:tcPr>
          <w:p>
            <w:r>
              <w:t>油价承压</w:t>
            </w:r>
          </w:p>
        </w:tc>
      </w:tr>
      <w:tr>
        <w:tc>
          <w:tcPr>
            <w:tcW w:type="dxa" w:w="2880"/>
          </w:tcPr>
          <w:p>
            <w:r>
              <w:t>2026 年 4 月 23 日</w:t>
            </w:r>
          </w:p>
        </w:tc>
        <w:tc>
          <w:tcPr>
            <w:tcW w:type="dxa" w:w="2880"/>
          </w:tcPr>
          <w:p>
            <w:r>
              <w:t>2025 年年报披露</w:t>
            </w:r>
          </w:p>
        </w:tc>
        <w:tc>
          <w:tcPr>
            <w:tcW w:type="dxa" w:w="2880"/>
          </w:tcPr>
          <w:p>
            <w:r>
              <w:t>验证业绩下滑幅度</w:t>
            </w:r>
          </w:p>
        </w:tc>
      </w:tr>
      <w:tr>
        <w:tc>
          <w:tcPr>
            <w:tcW w:type="dxa" w:w="2880"/>
          </w:tcPr>
          <w:p>
            <w:r>
              <w:t>2026 年下半年</w:t>
            </w:r>
          </w:p>
        </w:tc>
        <w:tc>
          <w:tcPr>
            <w:tcW w:type="dxa" w:w="2880"/>
          </w:tcPr>
          <w:p>
            <w:r>
              <w:t>伊拉克项目启动建设</w:t>
            </w:r>
          </w:p>
        </w:tc>
        <w:tc>
          <w:tcPr>
            <w:tcW w:type="dxa" w:w="2880"/>
          </w:tcPr>
          <w:p>
            <w:r>
              <w:t>关键进展催化</w:t>
            </w:r>
          </w:p>
        </w:tc>
      </w:tr>
      <w:tr>
        <w:tc>
          <w:tcPr>
            <w:tcW w:type="dxa" w:w="2880"/>
          </w:tcPr>
          <w:p>
            <w:r>
              <w:t>2027 年 5 月</w:t>
            </w:r>
          </w:p>
        </w:tc>
        <w:tc>
          <w:tcPr>
            <w:tcW w:type="dxa" w:w="2880"/>
          </w:tcPr>
          <w:p>
            <w:r>
              <w:t>伊拉克项目投产</w:t>
            </w:r>
          </w:p>
        </w:tc>
        <w:tc>
          <w:tcPr>
            <w:tcW w:type="dxa" w:w="2880"/>
          </w:tcPr>
          <w:p>
            <w:r>
              <w:t>业绩拐点</w:t>
            </w:r>
          </w:p>
        </w:tc>
      </w:tr>
      <w:tr>
        <w:tc>
          <w:tcPr>
            <w:tcW w:type="dxa" w:w="2880"/>
          </w:tcPr>
          <w:p>
            <w:r>
              <w:t>2027 年</w:t>
            </w:r>
          </w:p>
        </w:tc>
        <w:tc>
          <w:tcPr>
            <w:tcW w:type="dxa" w:w="2880"/>
          </w:tcPr>
          <w:p>
            <w:r>
              <w:t>氦气项目投产</w:t>
            </w:r>
          </w:p>
        </w:tc>
        <w:tc>
          <w:tcPr>
            <w:tcW w:type="dxa" w:w="2880"/>
          </w:tcPr>
          <w:p>
            <w:r>
              <w:t>新增收益 5.25 亿/年</w:t>
            </w:r>
          </w:p>
        </w:tc>
      </w:tr>
    </w:tbl>
    <w:p>
      <w:pPr>
        <w:pStyle w:val="Heading1"/>
      </w:pPr>
      <w:r>
        <w:t>🎯 八、情景分析与目标价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情景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油价假设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项目进展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目标市值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对应股价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概率</w:t>
            </w:r>
          </w:p>
        </w:tc>
      </w:tr>
      <w:tr>
        <w:tc>
          <w:tcPr>
            <w:tcW w:type="dxa" w:w="1440"/>
          </w:tcPr>
          <w:p>
            <w:r>
              <w:t>乐观</w:t>
            </w:r>
          </w:p>
        </w:tc>
        <w:tc>
          <w:tcPr>
            <w:tcW w:type="dxa" w:w="1440"/>
          </w:tcPr>
          <w:p>
            <w:r>
              <w:t>80-90 美元</w:t>
            </w:r>
          </w:p>
        </w:tc>
        <w:tc>
          <w:tcPr>
            <w:tcW w:type="dxa" w:w="1440"/>
          </w:tcPr>
          <w:p>
            <w:r>
              <w:t>伊拉克/氦气按时投产</w:t>
            </w:r>
          </w:p>
        </w:tc>
        <w:tc>
          <w:tcPr>
            <w:tcW w:type="dxa" w:w="1440"/>
          </w:tcPr>
          <w:p>
            <w:r>
              <w:t>250 亿</w:t>
            </w:r>
          </w:p>
        </w:tc>
        <w:tc>
          <w:tcPr>
            <w:tcW w:type="dxa" w:w="1440"/>
          </w:tcPr>
          <w:p>
            <w:r>
              <w:t>12 元</w:t>
            </w:r>
          </w:p>
        </w:tc>
        <w:tc>
          <w:tcPr>
            <w:tcW w:type="dxa" w:w="1440"/>
          </w:tcPr>
          <w:p>
            <w:r>
              <w:t>20%</w:t>
            </w:r>
          </w:p>
        </w:tc>
      </w:tr>
      <w:tr>
        <w:tc>
          <w:tcPr>
            <w:tcW w:type="dxa" w:w="1440"/>
          </w:tcPr>
          <w:p>
            <w:r>
              <w:t>中性</w:t>
            </w:r>
          </w:p>
        </w:tc>
        <w:tc>
          <w:tcPr>
            <w:tcW w:type="dxa" w:w="1440"/>
          </w:tcPr>
          <w:p>
            <w:r>
              <w:t>65-75 美元</w:t>
            </w:r>
          </w:p>
        </w:tc>
        <w:tc>
          <w:tcPr>
            <w:tcW w:type="dxa" w:w="1440"/>
          </w:tcPr>
          <w:p>
            <w:r>
              <w:t>部分延期</w:t>
            </w:r>
          </w:p>
        </w:tc>
        <w:tc>
          <w:tcPr>
            <w:tcW w:type="dxa" w:w="1440"/>
          </w:tcPr>
          <w:p>
            <w:r>
              <w:t>150 亿</w:t>
            </w:r>
          </w:p>
        </w:tc>
        <w:tc>
          <w:tcPr>
            <w:tcW w:type="dxa" w:w="1440"/>
          </w:tcPr>
          <w:p>
            <w:r>
              <w:t>7.2 元</w:t>
            </w:r>
          </w:p>
        </w:tc>
        <w:tc>
          <w:tcPr>
            <w:tcW w:type="dxa" w:w="1440"/>
          </w:tcPr>
          <w:p>
            <w:r>
              <w:t>50%</w:t>
            </w:r>
          </w:p>
        </w:tc>
      </w:tr>
      <w:tr>
        <w:tc>
          <w:tcPr>
            <w:tcW w:type="dxa" w:w="1440"/>
          </w:tcPr>
          <w:p>
            <w:r>
              <w:t>悲观</w:t>
            </w:r>
          </w:p>
        </w:tc>
        <w:tc>
          <w:tcPr>
            <w:tcW w:type="dxa" w:w="1440"/>
          </w:tcPr>
          <w:p>
            <w:r>
              <w:t>50-60 美元</w:t>
            </w:r>
          </w:p>
        </w:tc>
        <w:tc>
          <w:tcPr>
            <w:tcW w:type="dxa" w:w="1440"/>
          </w:tcPr>
          <w:p>
            <w:r>
              <w:t>严重延期</w:t>
            </w:r>
          </w:p>
        </w:tc>
        <w:tc>
          <w:tcPr>
            <w:tcW w:type="dxa" w:w="1440"/>
          </w:tcPr>
          <w:p>
            <w:r>
              <w:t>80 亿</w:t>
            </w:r>
          </w:p>
        </w:tc>
        <w:tc>
          <w:tcPr>
            <w:tcW w:type="dxa" w:w="1440"/>
          </w:tcPr>
          <w:p>
            <w:r>
              <w:t>3.8 元</w:t>
            </w:r>
          </w:p>
        </w:tc>
        <w:tc>
          <w:tcPr>
            <w:tcW w:type="dxa" w:w="1440"/>
          </w:tcPr>
          <w:p>
            <w:r>
              <w:t>30%</w:t>
            </w:r>
          </w:p>
        </w:tc>
      </w:tr>
    </w:tbl>
    <w:p>
      <w:pPr>
        <w:pStyle w:val="Heading1"/>
      </w:pPr>
      <w:r>
        <w:t>💎 九、最终总结</w:t>
      </w:r>
    </w:p>
    <w:p>
      <w:r>
        <w:t>洲际油气是一家拥有世界级低成本油气资产的民营公司，债务重整后轻装上阵，但当前股价已严重透支 2027 年预期。</w:t>
      </w:r>
    </w:p>
    <w:p>
      <w:r>
        <w:t>短期（1-3 月）高风险规避，中期（6-12 月）等待估值回归，长期（2-3 年）若项目顺利投产存在翻倍潜力。</w:t>
      </w:r>
    </w:p>
    <w:p>
      <w:r>
        <w:rPr>
          <w:b/>
        </w:rPr>
        <w:t>核心投资逻辑：</w:t>
      </w:r>
      <w:r>
        <w:t>好资产 ≠ 好股票（在当前价格）。等待好价格 + 项目兑现，才是理性选择。</w:t>
      </w:r>
    </w:p>
    <w:p>
      <w:r>
        <w:br w:type="page"/>
      </w:r>
    </w:p>
    <w:p>
      <w:pPr>
        <w:pStyle w:val="Heading1"/>
      </w:pPr>
      <w:r>
        <w:t>免责声明</w:t>
      </w:r>
    </w:p>
    <w:p>
      <w:r>
        <w:t>本报告基于公开信息整理分析，仅供参考，不构成投资建议。股市有风险，投资需谨慎。</w:t>
      </w:r>
    </w:p>
    <w:p>
      <w:r>
        <w:t>数据来源：东方财富网、同花顺、新浪财经、公司公告等公开渠道。</w:t>
      </w:r>
    </w:p>
    <w:p>
      <w:r>
        <w:t>报告生成时间：2026 年 3 月 10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