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4243A"/>
          <w:sz w:val="30"/>
          <w:szCs w:val="30"/>
        </w:rPr>
        <w:t xml:space="preserve">ANNEXE — PROTECTION DES DONNÉES</w:t>
      </w:r>
    </w:p>
    <w:p>
      <w:pPr>
        <w:spacing w:after="60"/>
      </w:pPr>
      <w:r>
        <w:rPr>
          <w:rFonts w:ascii="Calibri" w:cs="Calibri" w:eastAsia="Calibri" w:hAnsi="Calibri"/>
          <w:b/>
          <w:bCs/>
          <w:color w:val="14243A"/>
          <w:sz w:val="30"/>
          <w:szCs w:val="30"/>
        </w:rPr>
        <w:t xml:space="preserve">À CARACTÈRE PERSONNEL (RGPD)</w:t>
      </w:r>
    </w:p>
    <w:p>
      <w:pPr>
        <w:pBdr>
          <w:bottom w:val="single" w:color="9B2F3B" w:sz="12"/>
        </w:pBdr>
        <w:spacing w:after="200"/>
      </w:pPr>
      <w:r>
        <w:rPr>
          <w:rFonts w:ascii="Calibri" w:cs="Calibri" w:eastAsia="Calibri" w:hAnsi="Calibri"/>
          <w:i/>
          <w:iCs/>
          <w:color w:val="57626F"/>
          <w:sz w:val="21"/>
          <w:szCs w:val="21"/>
        </w:rPr>
        <w:t xml:space="preserve">Annexe à la convention de prestation de services de marketing et de mise en relation</w:t>
      </w:r>
    </w:p>
    <w:p>
      <w:pPr>
        <w:pBdr>
          <w:top w:val="single" w:color="9B2F3B" w:sz="2"/>
          <w:bottom w:val="single" w:color="9B2F3B" w:sz="2"/>
          <w:left w:val="single" w:color="9B2F3B" w:sz="12"/>
          <w:right w:val="single" w:color="9B2F3B" w:sz="2"/>
        </w:pBdr>
        <w:shd w:fill="F7F1E5" w:val="clear"/>
        <w:spacing w:after="160" w:before="120"/>
      </w:pPr>
      <w:r>
        <w:rPr>
          <w:rFonts w:ascii="Calibri" w:cs="Calibri" w:eastAsia="Calibri" w:hAnsi="Calibri"/>
          <w:color w:val="333333"/>
          <w:sz w:val="20"/>
          <w:szCs w:val="20"/>
        </w:rPr>
        <w:t xml:space="preserve">MODÈLE — Cette annexe est une trame. Elle ne constitue pas un avis juridique et doit être complétée et validée par un juriste / délégué à la protection des données. La qualification des Parties (responsables conjoints, ou responsable et sous-traitant) doit être confirmée au regard de l'organisation réelle des traitements.</w:t>
      </w:r>
    </w:p>
    <w:p>
      <w:pPr>
        <w:spacing w:after="120" w:line="276"/>
        <w:jc w:val="both"/>
      </w:pPr>
      <w:r>
        <w:rPr>
          <w:rFonts w:ascii="Calibri" w:cs="Calibri" w:eastAsia="Calibri" w:hAnsi="Calibri"/>
          <w:sz w:val="21"/>
          <w:szCs w:val="21"/>
        </w:rPr>
        <w:t xml:space="preserve">La présente annexe fait partie intégrante de la convention conclue entre </w:t>
      </w:r>
      <w:r>
        <w:rPr>
          <w:rFonts w:ascii="Calibri" w:cs="Calibri" w:eastAsia="Calibri" w:hAnsi="Calibri"/>
          <w:b/>
          <w:bCs/>
          <w:sz w:val="21"/>
          <w:szCs w:val="21"/>
        </w:rPr>
        <w:t xml:space="preserve">CAP USA</w:t>
      </w:r>
      <w:r>
        <w:rPr>
          <w:rFonts w:ascii="Calibri" w:cs="Calibri" w:eastAsia="Calibri" w:hAnsi="Calibri"/>
          <w:sz w:val="21"/>
          <w:szCs w:val="21"/>
        </w:rPr>
        <w:t xml:space="preserve"> (« la Société ») et </w:t>
      </w:r>
      <w:r>
        <w:rPr>
          <w:rFonts w:ascii="Calibri" w:cs="Calibri" w:eastAsia="Calibri" w:hAnsi="Calibri"/>
          <w:b/>
          <w:bCs/>
          <w:sz w:val="21"/>
          <w:szCs w:val="21"/>
        </w:rPr>
        <w:t xml:space="preserve">[Prénom NOM]</w:t>
      </w:r>
      <w:r>
        <w:rPr>
          <w:rFonts w:ascii="Calibri" w:cs="Calibri" w:eastAsia="Calibri" w:hAnsi="Calibri"/>
          <w:sz w:val="21"/>
          <w:szCs w:val="21"/>
        </w:rPr>
        <w:t xml:space="preserve">, avocat au barreau de New York (« l'Avocat »). En cas de contradiction sur la protection des données, la présente annexe prévaut.</w:t>
      </w:r>
    </w:p>
    <w:p>
      <w:pPr>
        <w:pStyle w:val="Heading2"/>
        <w:spacing w:after="90" w:before="250"/>
      </w:pPr>
      <w:r>
        <w:rPr>
          <w:rFonts w:ascii="Calibri" w:cs="Calibri" w:eastAsia="Calibri" w:hAnsi="Calibri"/>
          <w:b/>
          <w:bCs/>
          <w:color w:val="14243A"/>
          <w:sz w:val="24"/>
          <w:szCs w:val="24"/>
        </w:rPr>
        <w:t xml:space="preserve">Article 1 — Objet</w:t>
      </w:r>
    </w:p>
    <w:p>
      <w:pPr>
        <w:spacing w:after="120" w:line="276"/>
        <w:jc w:val="both"/>
      </w:pPr>
      <w:r>
        <w:rPr>
          <w:rFonts w:ascii="Calibri" w:cs="Calibri" w:eastAsia="Calibri" w:hAnsi="Calibri"/>
          <w:sz w:val="21"/>
          <w:szCs w:val="21"/>
        </w:rPr>
        <w:t xml:space="preserve">La présente annexe a pour objet d'encadrer le traitement des données à caractère personnel des prospects collectées par la Société et transmises à l'Avocat aux fins de mise en relation, dans le respect du Règlement (UE) 2016/679 (RGPD) et de la réglementation applicable.</w:t>
      </w:r>
    </w:p>
    <w:p>
      <w:pPr>
        <w:pStyle w:val="Heading2"/>
        <w:spacing w:after="90" w:before="250"/>
      </w:pPr>
      <w:r>
        <w:rPr>
          <w:rFonts w:ascii="Calibri" w:cs="Calibri" w:eastAsia="Calibri" w:hAnsi="Calibri"/>
          <w:b/>
          <w:bCs/>
          <w:color w:val="14243A"/>
          <w:sz w:val="24"/>
          <w:szCs w:val="24"/>
        </w:rPr>
        <w:t xml:space="preserve">Article 2 — Qualification des Parties</w:t>
      </w:r>
    </w:p>
    <w:p>
      <w:pPr>
        <w:spacing w:after="120" w:line="276"/>
        <w:jc w:val="both"/>
      </w:pPr>
      <w:r>
        <w:rPr>
          <w:rFonts w:ascii="Calibri" w:cs="Calibri" w:eastAsia="Calibri" w:hAnsi="Calibri"/>
          <w:sz w:val="21"/>
          <w:szCs w:val="21"/>
        </w:rPr>
        <w:t xml:space="preserve">Au titre de la collecte et de la mise en relation, les Parties agissent en qualité de [responsables conjoints du traitement (art. 26 RGPD) / responsable de traitement et sous-traitant — à confirmer]. Après transmission des données, l'Avocat traite les données de ses clients en qualité de responsable de traitement indépendant, pour ses seules prestations juridiques, sous sa propre responsabilité.</w:t>
      </w:r>
    </w:p>
    <w:p>
      <w:pPr>
        <w:pStyle w:val="Heading2"/>
        <w:spacing w:after="90" w:before="250"/>
      </w:pPr>
      <w:r>
        <w:rPr>
          <w:rFonts w:ascii="Calibri" w:cs="Calibri" w:eastAsia="Calibri" w:hAnsi="Calibri"/>
          <w:b/>
          <w:bCs/>
          <w:color w:val="14243A"/>
          <w:sz w:val="24"/>
          <w:szCs w:val="24"/>
        </w:rPr>
        <w:t xml:space="preserve">Article 3 — Description du traitement</w:t>
      </w:r>
    </w:p>
    <w:p>
      <w:pPr>
        <w:spacing w:after="120" w:line="276"/>
        <w:jc w:val="both"/>
      </w:pPr>
      <w:r>
        <w:rPr>
          <w:rFonts w:ascii="Calibri" w:cs="Calibri" w:eastAsia="Calibri" w:hAnsi="Calibri"/>
          <w:sz w:val="21"/>
          <w:szCs w:val="21"/>
        </w:rPr>
        <w:t xml:space="preserve">Les Parties conviennent des éléments suivants (précisés, si besoin, à l'annexe technique) :</w:t>
      </w:r>
    </w:p>
    <w:p>
      <w:pPr>
        <w:pStyle w:val="ListParagraph"/>
        <w:numPr>
          <w:ilvl w:val="0"/>
          <w:numId w:val="2"/>
        </w:numPr>
        <w:spacing w:after="70" w:line="268"/>
        <w:jc w:val="both"/>
      </w:pPr>
      <w:r>
        <w:rPr>
          <w:rFonts w:ascii="Calibri" w:cs="Calibri" w:eastAsia="Calibri" w:hAnsi="Calibri"/>
          <w:sz w:val="21"/>
          <w:szCs w:val="21"/>
        </w:rPr>
        <w:t xml:space="preserve">Catégories de personnes concernées : prospects ayant sollicité une mise en relation.</w:t>
      </w:r>
    </w:p>
    <w:p>
      <w:pPr>
        <w:pStyle w:val="ListParagraph"/>
        <w:numPr>
          <w:ilvl w:val="0"/>
          <w:numId w:val="2"/>
        </w:numPr>
        <w:spacing w:after="70" w:line="268"/>
        <w:jc w:val="both"/>
      </w:pPr>
      <w:r>
        <w:rPr>
          <w:rFonts w:ascii="Calibri" w:cs="Calibri" w:eastAsia="Calibri" w:hAnsi="Calibri"/>
          <w:sz w:val="21"/>
          <w:szCs w:val="21"/>
        </w:rPr>
        <w:t xml:space="preserve">Catégories de données : identité, coordonnées (e-mail, téléphone), description du projet renseignée librement.</w:t>
      </w:r>
    </w:p>
    <w:p>
      <w:pPr>
        <w:pStyle w:val="ListParagraph"/>
        <w:numPr>
          <w:ilvl w:val="0"/>
          <w:numId w:val="2"/>
        </w:numPr>
        <w:spacing w:after="70" w:line="268"/>
        <w:jc w:val="both"/>
      </w:pPr>
      <w:r>
        <w:rPr>
          <w:rFonts w:ascii="Calibri" w:cs="Calibri" w:eastAsia="Calibri" w:hAnsi="Calibri"/>
          <w:sz w:val="21"/>
          <w:szCs w:val="21"/>
        </w:rPr>
        <w:t xml:space="preserve">Finalités : mise en relation avec l'Avocat ; prise de contact ; le cas échéant, traitement du dossier par l'Avocat.</w:t>
      </w:r>
    </w:p>
    <w:p>
      <w:pPr>
        <w:pStyle w:val="ListParagraph"/>
        <w:numPr>
          <w:ilvl w:val="0"/>
          <w:numId w:val="2"/>
        </w:numPr>
        <w:spacing w:after="70" w:line="268"/>
        <w:jc w:val="both"/>
      </w:pPr>
      <w:r>
        <w:rPr>
          <w:rFonts w:ascii="Calibri" w:cs="Calibri" w:eastAsia="Calibri" w:hAnsi="Calibri"/>
          <w:sz w:val="21"/>
          <w:szCs w:val="21"/>
        </w:rPr>
        <w:t xml:space="preserve">Durée : les données sont conservées le temps nécessaire aux finalités, puis selon les durées convenues et les obligations légales.</w:t>
      </w:r>
    </w:p>
    <w:p>
      <w:pPr>
        <w:pStyle w:val="Heading2"/>
        <w:spacing w:after="90" w:before="250"/>
      </w:pPr>
      <w:r>
        <w:rPr>
          <w:rFonts w:ascii="Calibri" w:cs="Calibri" w:eastAsia="Calibri" w:hAnsi="Calibri"/>
          <w:b/>
          <w:bCs/>
          <w:color w:val="14243A"/>
          <w:sz w:val="24"/>
          <w:szCs w:val="24"/>
        </w:rPr>
        <w:t xml:space="preserve">Article 4 — Obligations de la Société</w:t>
      </w:r>
    </w:p>
    <w:p>
      <w:pPr>
        <w:pStyle w:val="ListParagraph"/>
        <w:numPr>
          <w:ilvl w:val="0"/>
          <w:numId w:val="2"/>
        </w:numPr>
        <w:spacing w:after="70" w:line="268"/>
        <w:jc w:val="both"/>
      </w:pPr>
      <w:r>
        <w:rPr>
          <w:rFonts w:ascii="Calibri" w:cs="Calibri" w:eastAsia="Calibri" w:hAnsi="Calibri"/>
          <w:sz w:val="21"/>
          <w:szCs w:val="21"/>
        </w:rPr>
        <w:t xml:space="preserve">Informer les personnes concernées (mentions d'information) et recueillir leur consentement, notamment quant à la transmission des données à l'Avocat.</w:t>
      </w:r>
    </w:p>
    <w:p>
      <w:pPr>
        <w:pStyle w:val="ListParagraph"/>
        <w:numPr>
          <w:ilvl w:val="0"/>
          <w:numId w:val="2"/>
        </w:numPr>
        <w:spacing w:after="70" w:line="268"/>
        <w:jc w:val="both"/>
      </w:pPr>
      <w:r>
        <w:rPr>
          <w:rFonts w:ascii="Calibri" w:cs="Calibri" w:eastAsia="Calibri" w:hAnsi="Calibri"/>
          <w:sz w:val="21"/>
          <w:szCs w:val="21"/>
        </w:rPr>
        <w:t xml:space="preserve">Ne collecter que des données adéquates, pertinentes et limitées aux finalités.</w:t>
      </w:r>
    </w:p>
    <w:p>
      <w:pPr>
        <w:pStyle w:val="ListParagraph"/>
        <w:numPr>
          <w:ilvl w:val="0"/>
          <w:numId w:val="2"/>
        </w:numPr>
        <w:spacing w:after="70" w:line="268"/>
        <w:jc w:val="both"/>
      </w:pPr>
      <w:r>
        <w:rPr>
          <w:rFonts w:ascii="Calibri" w:cs="Calibri" w:eastAsia="Calibri" w:hAnsi="Calibri"/>
          <w:sz w:val="21"/>
          <w:szCs w:val="21"/>
        </w:rPr>
        <w:t xml:space="preserve">Transmettre les données à l'Avocat de manière sécurisée.</w:t>
      </w:r>
    </w:p>
    <w:p>
      <w:pPr>
        <w:pStyle w:val="ListParagraph"/>
        <w:numPr>
          <w:ilvl w:val="0"/>
          <w:numId w:val="2"/>
        </w:numPr>
        <w:spacing w:after="70" w:line="268"/>
        <w:jc w:val="both"/>
      </w:pPr>
      <w:r>
        <w:rPr>
          <w:rFonts w:ascii="Calibri" w:cs="Calibri" w:eastAsia="Calibri" w:hAnsi="Calibri"/>
          <w:sz w:val="21"/>
          <w:szCs w:val="21"/>
        </w:rPr>
        <w:t xml:space="preserve">Ne pas utiliser les données à d'autres fins que celles prévues sans base légale appropriée.</w:t>
      </w:r>
    </w:p>
    <w:p>
      <w:pPr>
        <w:pStyle w:val="Heading2"/>
        <w:spacing w:after="90" w:before="250"/>
      </w:pPr>
      <w:r>
        <w:rPr>
          <w:rFonts w:ascii="Calibri" w:cs="Calibri" w:eastAsia="Calibri" w:hAnsi="Calibri"/>
          <w:b/>
          <w:bCs/>
          <w:color w:val="14243A"/>
          <w:sz w:val="24"/>
          <w:szCs w:val="24"/>
        </w:rPr>
        <w:t xml:space="preserve">Article 5 — Obligations de l'Avocat</w:t>
      </w:r>
    </w:p>
    <w:p>
      <w:pPr>
        <w:pStyle w:val="ListParagraph"/>
        <w:numPr>
          <w:ilvl w:val="0"/>
          <w:numId w:val="2"/>
        </w:numPr>
        <w:spacing w:after="70" w:line="268"/>
        <w:jc w:val="both"/>
      </w:pPr>
      <w:r>
        <w:rPr>
          <w:rFonts w:ascii="Calibri" w:cs="Calibri" w:eastAsia="Calibri" w:hAnsi="Calibri"/>
          <w:sz w:val="21"/>
          <w:szCs w:val="21"/>
        </w:rPr>
        <w:t xml:space="preserve">Utiliser les données transmises aux seules fins de recontacter le prospect et, le cas échéant, traiter son dossier.</w:t>
      </w:r>
    </w:p>
    <w:p>
      <w:pPr>
        <w:pStyle w:val="ListParagraph"/>
        <w:numPr>
          <w:ilvl w:val="0"/>
          <w:numId w:val="2"/>
        </w:numPr>
        <w:spacing w:after="70" w:line="268"/>
        <w:jc w:val="both"/>
      </w:pPr>
      <w:r>
        <w:rPr>
          <w:rFonts w:ascii="Calibri" w:cs="Calibri" w:eastAsia="Calibri" w:hAnsi="Calibri"/>
          <w:sz w:val="21"/>
          <w:szCs w:val="21"/>
        </w:rPr>
        <w:t xml:space="preserve">Assurer la confidentialité et la sécurité des données, y compris au titre du secret professionnel.</w:t>
      </w:r>
    </w:p>
    <w:p>
      <w:pPr>
        <w:pStyle w:val="ListParagraph"/>
        <w:numPr>
          <w:ilvl w:val="0"/>
          <w:numId w:val="2"/>
        </w:numPr>
        <w:spacing w:after="70" w:line="268"/>
        <w:jc w:val="both"/>
      </w:pPr>
      <w:r>
        <w:rPr>
          <w:rFonts w:ascii="Calibri" w:cs="Calibri" w:eastAsia="Calibri" w:hAnsi="Calibri"/>
          <w:sz w:val="21"/>
          <w:szCs w:val="21"/>
        </w:rPr>
        <w:t xml:space="preserve">Respecter les droits des personnes concernées pour les traitements dont il est responsable.</w:t>
      </w:r>
    </w:p>
    <w:p>
      <w:pPr>
        <w:pStyle w:val="Heading2"/>
        <w:spacing w:after="90" w:before="250"/>
      </w:pPr>
      <w:r>
        <w:rPr>
          <w:rFonts w:ascii="Calibri" w:cs="Calibri" w:eastAsia="Calibri" w:hAnsi="Calibri"/>
          <w:b/>
          <w:bCs/>
          <w:color w:val="14243A"/>
          <w:sz w:val="24"/>
          <w:szCs w:val="24"/>
        </w:rPr>
        <w:t xml:space="preserve">Article 6 — Transfert de données hors Union européenne</w:t>
      </w:r>
    </w:p>
    <w:p>
      <w:pPr>
        <w:spacing w:after="120" w:line="276"/>
        <w:jc w:val="both"/>
      </w:pPr>
      <w:r>
        <w:rPr>
          <w:rFonts w:ascii="Calibri" w:cs="Calibri" w:eastAsia="Calibri" w:hAnsi="Calibri"/>
          <w:sz w:val="21"/>
          <w:szCs w:val="21"/>
        </w:rPr>
        <w:t xml:space="preserve">Les Parties étant établies aux États-Unis, la transmission des données constitue un transfert hors de l'Union européenne. Ce transfert est encadré par les garanties appropriées prévues au chapitre V du RGPD [préciser : clauses contractuelles types ou autre mécanisme] et/ou repose sur le consentement explicite des personnes. Les Parties tiennent à disposition la documentation de ces garanties.</w:t>
      </w:r>
    </w:p>
    <w:p>
      <w:pPr>
        <w:pStyle w:val="Heading2"/>
        <w:spacing w:after="90" w:before="250"/>
      </w:pPr>
      <w:r>
        <w:rPr>
          <w:rFonts w:ascii="Calibri" w:cs="Calibri" w:eastAsia="Calibri" w:hAnsi="Calibri"/>
          <w:b/>
          <w:bCs/>
          <w:color w:val="14243A"/>
          <w:sz w:val="24"/>
          <w:szCs w:val="24"/>
        </w:rPr>
        <w:t xml:space="preserve">Article 7 — Droits des personnes concernées</w:t>
      </w:r>
    </w:p>
    <w:p>
      <w:pPr>
        <w:spacing w:after="120" w:line="276"/>
        <w:jc w:val="both"/>
      </w:pPr>
      <w:r>
        <w:rPr>
          <w:rFonts w:ascii="Calibri" w:cs="Calibri" w:eastAsia="Calibri" w:hAnsi="Calibri"/>
          <w:sz w:val="21"/>
          <w:szCs w:val="21"/>
        </w:rPr>
        <w:t xml:space="preserve">Les Parties coopèrent pour permettre l'exercice des droits d'accès, de rectification, d'effacement, de limitation, d'opposition, de portabilité et de retrait du consentement. Un point de contact unique est communiqué aux personnes : [email]. Chaque Partie répond des demandes relatives aux traitements dont elle est responsable et transmet sans délai à l'autre toute demande la concernant.</w:t>
      </w:r>
    </w:p>
    <w:p>
      <w:pPr>
        <w:pStyle w:val="Heading2"/>
        <w:spacing w:after="90" w:before="250"/>
      </w:pPr>
      <w:r>
        <w:rPr>
          <w:rFonts w:ascii="Calibri" w:cs="Calibri" w:eastAsia="Calibri" w:hAnsi="Calibri"/>
          <w:b/>
          <w:bCs/>
          <w:color w:val="14243A"/>
          <w:sz w:val="24"/>
          <w:szCs w:val="24"/>
        </w:rPr>
        <w:t xml:space="preserve">Article 8 — Sécurité et confidentialité</w:t>
      </w:r>
    </w:p>
    <w:p>
      <w:pPr>
        <w:spacing w:after="120" w:line="276"/>
        <w:jc w:val="both"/>
      </w:pPr>
      <w:r>
        <w:rPr>
          <w:rFonts w:ascii="Calibri" w:cs="Calibri" w:eastAsia="Calibri" w:hAnsi="Calibri"/>
          <w:sz w:val="21"/>
          <w:szCs w:val="21"/>
        </w:rPr>
        <w:t xml:space="preserve">Chaque Partie met en œuvre les mesures techniques et organisationnelles appropriées pour garantir la sécurité des données (confidentialité, intégrité, disponibilité), en tenant compte de l'état de l'art et des risques. Le personnel habilité est soumis à une obligation de confidentialité.</w:t>
      </w:r>
    </w:p>
    <w:p>
      <w:pPr>
        <w:pStyle w:val="Heading2"/>
        <w:spacing w:after="90" w:before="250"/>
      </w:pPr>
      <w:r>
        <w:rPr>
          <w:rFonts w:ascii="Calibri" w:cs="Calibri" w:eastAsia="Calibri" w:hAnsi="Calibri"/>
          <w:b/>
          <w:bCs/>
          <w:color w:val="14243A"/>
          <w:sz w:val="24"/>
          <w:szCs w:val="24"/>
        </w:rPr>
        <w:t xml:space="preserve">Article 9 — Violation de données</w:t>
      </w:r>
    </w:p>
    <w:p>
      <w:pPr>
        <w:spacing w:after="120" w:line="276"/>
        <w:jc w:val="both"/>
      </w:pPr>
      <w:r>
        <w:rPr>
          <w:rFonts w:ascii="Calibri" w:cs="Calibri" w:eastAsia="Calibri" w:hAnsi="Calibri"/>
          <w:sz w:val="21"/>
          <w:szCs w:val="21"/>
        </w:rPr>
        <w:t xml:space="preserve">En cas de violation de données, la Partie concernée en informe l'autre sans délai injustifié et lui communique les éléments utiles, afin de permettre, le cas échéant, la notification à l'autorité de contrôle compétente et aux personnes concernées dans les délais légaux.</w:t>
      </w:r>
    </w:p>
    <w:p>
      <w:pPr>
        <w:pStyle w:val="Heading2"/>
        <w:spacing w:after="90" w:before="250"/>
      </w:pPr>
      <w:r>
        <w:rPr>
          <w:rFonts w:ascii="Calibri" w:cs="Calibri" w:eastAsia="Calibri" w:hAnsi="Calibri"/>
          <w:b/>
          <w:bCs/>
          <w:color w:val="14243A"/>
          <w:sz w:val="24"/>
          <w:szCs w:val="24"/>
        </w:rPr>
        <w:t xml:space="preserve">Article 10 — Sous-traitants ultérieurs</w:t>
      </w:r>
    </w:p>
    <w:p>
      <w:pPr>
        <w:spacing w:after="120" w:line="276"/>
        <w:jc w:val="both"/>
      </w:pPr>
      <w:r>
        <w:rPr>
          <w:rFonts w:ascii="Calibri" w:cs="Calibri" w:eastAsia="Calibri" w:hAnsi="Calibri"/>
          <w:sz w:val="21"/>
          <w:szCs w:val="21"/>
        </w:rPr>
        <w:t xml:space="preserve">Chaque Partie ne recourt qu'à des sous-traitants présentant des garanties suffisantes et liés par des obligations de protection des données équivalentes. La liste des sous-traitants utilisés (hébergement, outils) peut figurer à l'annexe technique.</w:t>
      </w:r>
    </w:p>
    <w:p>
      <w:pPr>
        <w:pStyle w:val="Heading2"/>
        <w:spacing w:after="90" w:before="250"/>
      </w:pPr>
      <w:r>
        <w:rPr>
          <w:rFonts w:ascii="Calibri" w:cs="Calibri" w:eastAsia="Calibri" w:hAnsi="Calibri"/>
          <w:b/>
          <w:bCs/>
          <w:color w:val="14243A"/>
          <w:sz w:val="24"/>
          <w:szCs w:val="24"/>
        </w:rPr>
        <w:t xml:space="preserve">Article 11 — Sort des données en fin de convention</w:t>
      </w:r>
    </w:p>
    <w:p>
      <w:pPr>
        <w:spacing w:after="120" w:line="276"/>
        <w:jc w:val="both"/>
      </w:pPr>
      <w:r>
        <w:rPr>
          <w:rFonts w:ascii="Calibri" w:cs="Calibri" w:eastAsia="Calibri" w:hAnsi="Calibri"/>
          <w:sz w:val="21"/>
          <w:szCs w:val="21"/>
        </w:rPr>
        <w:t xml:space="preserve">À l'expiration de la convention, chaque Partie cesse tout traitement non justifié par une obligation légale et procède, selon les cas, à la restitution ou à la suppression des données, sauf conservation imposée par la loi ou par le secret professionnel de l'Avocat.</w:t>
      </w:r>
    </w:p>
    <w:p>
      <w:pPr>
        <w:pStyle w:val="Heading2"/>
        <w:spacing w:after="90" w:before="250"/>
      </w:pPr>
      <w:r>
        <w:rPr>
          <w:rFonts w:ascii="Calibri" w:cs="Calibri" w:eastAsia="Calibri" w:hAnsi="Calibri"/>
          <w:b/>
          <w:bCs/>
          <w:color w:val="14243A"/>
          <w:sz w:val="24"/>
          <w:szCs w:val="24"/>
        </w:rPr>
        <w:t xml:space="preserve">Article 12 — Documentation et coopération</w:t>
      </w:r>
    </w:p>
    <w:p>
      <w:pPr>
        <w:spacing w:after="120" w:line="276"/>
        <w:jc w:val="both"/>
      </w:pPr>
      <w:r>
        <w:rPr>
          <w:rFonts w:ascii="Calibri" w:cs="Calibri" w:eastAsia="Calibri" w:hAnsi="Calibri"/>
          <w:sz w:val="21"/>
          <w:szCs w:val="21"/>
        </w:rPr>
        <w:t xml:space="preserve">Les Parties tiennent la documentation requise (registre des activités de traitement, le cas échéant) et coopèrent de bonne foi, y compris en cas de contrôle d'une autorité compétente.</w:t>
      </w:r>
    </w:p>
    <w:p>
      <w:pPr>
        <w:pStyle w:val="Heading2"/>
        <w:spacing w:after="90" w:before="250"/>
      </w:pPr>
      <w:r>
        <w:rPr>
          <w:rFonts w:ascii="Calibri" w:cs="Calibri" w:eastAsia="Calibri" w:hAnsi="Calibri"/>
          <w:b/>
          <w:bCs/>
          <w:color w:val="14243A"/>
          <w:sz w:val="24"/>
          <w:szCs w:val="24"/>
        </w:rPr>
        <w:t xml:space="preserve">Annexe technique (à compléter)</w:t>
      </w:r>
    </w:p>
    <w:p>
      <w:pPr>
        <w:pStyle w:val="ListParagraph"/>
        <w:numPr>
          <w:ilvl w:val="0"/>
          <w:numId w:val="2"/>
        </w:numPr>
        <w:spacing w:after="70" w:line="268"/>
        <w:jc w:val="both"/>
      </w:pPr>
      <w:r>
        <w:rPr>
          <w:rFonts w:ascii="Calibri" w:cs="Calibri" w:eastAsia="Calibri" w:hAnsi="Calibri"/>
          <w:sz w:val="21"/>
          <w:szCs w:val="21"/>
        </w:rPr>
        <w:t xml:space="preserve">Liste détaillée des traitements et des données.</w:t>
      </w:r>
    </w:p>
    <w:p>
      <w:pPr>
        <w:pStyle w:val="ListParagraph"/>
        <w:numPr>
          <w:ilvl w:val="0"/>
          <w:numId w:val="2"/>
        </w:numPr>
        <w:spacing w:after="70" w:line="268"/>
        <w:jc w:val="both"/>
      </w:pPr>
      <w:r>
        <w:rPr>
          <w:rFonts w:ascii="Calibri" w:cs="Calibri" w:eastAsia="Calibri" w:hAnsi="Calibri"/>
          <w:sz w:val="21"/>
          <w:szCs w:val="21"/>
        </w:rPr>
        <w:t xml:space="preserve">Mesures de sécurité mises en œuvre par chaque Partie.</w:t>
      </w:r>
    </w:p>
    <w:p>
      <w:pPr>
        <w:pStyle w:val="ListParagraph"/>
        <w:numPr>
          <w:ilvl w:val="0"/>
          <w:numId w:val="2"/>
        </w:numPr>
        <w:spacing w:after="70" w:line="268"/>
        <w:jc w:val="both"/>
      </w:pPr>
      <w:r>
        <w:rPr>
          <w:rFonts w:ascii="Calibri" w:cs="Calibri" w:eastAsia="Calibri" w:hAnsi="Calibri"/>
          <w:sz w:val="21"/>
          <w:szCs w:val="21"/>
        </w:rPr>
        <w:t xml:space="preserve">Liste des sous-traitants (hébergeur, outil de formulaire, outils publicitaires).</w:t>
      </w:r>
    </w:p>
    <w:p>
      <w:pPr>
        <w:pStyle w:val="ListParagraph"/>
        <w:numPr>
          <w:ilvl w:val="0"/>
          <w:numId w:val="2"/>
        </w:numPr>
        <w:spacing w:after="70" w:line="268"/>
        <w:jc w:val="both"/>
      </w:pPr>
      <w:r>
        <w:rPr>
          <w:rFonts w:ascii="Calibri" w:cs="Calibri" w:eastAsia="Calibri" w:hAnsi="Calibri"/>
          <w:sz w:val="21"/>
          <w:szCs w:val="21"/>
        </w:rPr>
        <w:t xml:space="preserve">Mécanisme de transfert hors UE retenu et durées de conservation.</w:t>
      </w:r>
    </w:p>
    <w:p>
      <w:pPr>
        <w:spacing w:before="280"/>
      </w:pPr>
      <w:r>
        <w:rPr>
          <w:rFonts w:ascii="Calibri" w:cs="Calibri" w:eastAsia="Calibri" w:hAnsi="Calibri"/>
          <w:sz w:val="21"/>
          <w:szCs w:val="21"/>
        </w:rPr>
        <w:t xml:space="preserve">Fait à [lieu], le [date], en deux exemplaires.</w:t>
      </w:r>
    </w:p>
    <w:p>
      <w:pPr>
        <w:spacing w:before="240"/>
      </w:pPr>
      <w:r>
        <w:rPr>
          <w:rFonts w:ascii="Calibri" w:cs="Calibri" w:eastAsia="Calibri" w:hAnsi="Calibri"/>
          <w:b/>
          <w:bCs/>
          <w:sz w:val="21"/>
          <w:szCs w:val="21"/>
        </w:rPr>
        <w:t xml:space="preserve">Pour la Société                                                                  </w:t>
      </w:r>
      <w:r>
        <w:rPr>
          <w:rFonts w:ascii="Calibri" w:cs="Calibri" w:eastAsia="Calibri" w:hAnsi="Calibri"/>
          <w:b/>
          <w:bCs/>
          <w:sz w:val="21"/>
          <w:szCs w:val="21"/>
        </w:rPr>
        <w:t xml:space="preserve">L'Avocat</w:t>
      </w:r>
    </w:p>
    <w:p>
      <w:pPr>
        <w:spacing w:before="60"/>
      </w:pPr>
      <w:r>
        <w:rPr>
          <w:rFonts w:ascii="Calibri" w:cs="Calibri" w:eastAsia="Calibri" w:hAnsi="Calibri"/>
          <w:sz w:val="21"/>
          <w:szCs w:val="21"/>
        </w:rPr>
        <w:t xml:space="preserve">[Nom, qualité]                                                                   [Prénom NOM]</w:t>
      </w:r>
    </w:p>
    <w:p>
      <w:pPr>
        <w:spacing w:before="360"/>
      </w:pPr>
      <w:r>
        <w:rPr>
          <w:rFonts w:ascii="Calibri" w:cs="Calibri" w:eastAsia="Calibri" w:hAnsi="Calibri"/>
          <w:color w:val="57626F"/>
          <w:sz w:val="21"/>
          <w:szCs w:val="21"/>
        </w:rPr>
        <w:t xml:space="preserve">Signature                                                                          Signature</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2026-07-21T04:46:02.131Z</dcterms:created>
  <dcterms:modified xsi:type="dcterms:W3CDTF">2026-07-21T04:46:02.132Z</dcterms:modified>
</cp:coreProperties>
</file>

<file path=docProps/custom.xml><?xml version="1.0" encoding="utf-8"?>
<Properties xmlns="http://schemas.openxmlformats.org/officeDocument/2006/custom-properties" xmlns:vt="http://schemas.openxmlformats.org/officeDocument/2006/docPropsVTypes"/>
</file>