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PUNIT GUPTA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Chandigarh, India </w:t>
      </w: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sz w:val="20"/>
          <w:szCs w:val="20"/>
          <w:rtl w:val="0"/>
        </w:rPr>
        <w:t xml:space="preserve">+91 9521596906 </w:t>
      </w:r>
      <w:r w:rsidDel="00000000" w:rsidR="00000000" w:rsidRPr="00000000">
        <w:rPr>
          <w:rtl w:val="0"/>
        </w:rPr>
        <w:t xml:space="preserve">•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khandelwalpunit935@gmail.com</w:t>
        </w:r>
      </w:hyperlink>
      <w:r w:rsidDel="00000000" w:rsidR="00000000" w:rsidRPr="00000000">
        <w:rPr>
          <w:color w:val="0000ff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rtl w:val="0"/>
        </w:rPr>
        <w:t xml:space="preserve">•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tabs>
          <w:tab w:val="left" w:leader="none" w:pos="360"/>
        </w:tabs>
        <w:rPr>
          <w:rFonts w:ascii="Arial" w:cs="Arial" w:eastAsia="Arial" w:hAnsi="Arial"/>
          <w:sz w:val="22"/>
          <w:szCs w:val="22"/>
        </w:rPr>
      </w:pPr>
      <w:bookmarkStart w:colFirst="0" w:colLast="0" w:name="_vwsr8jdjpxbi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Punjab Engineering College,</w:t>
      </w:r>
      <w:r w:rsidDel="00000000" w:rsidR="00000000" w:rsidRPr="00000000">
        <w:rPr>
          <w:rFonts w:ascii="Arial" w:cs="Arial" w:eastAsia="Arial" w:hAnsi="Arial"/>
          <w:color w:val="70757a"/>
          <w:sz w:val="20"/>
          <w:szCs w:val="20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Chandigarh,India                                                                       November 2022- June 2026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Bachelor’s of Technology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tabs>
          <w:tab w:val="right" w:leader="none" w:pos="1080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Relevant Coursework: Programming in Python, Economics, Mathematics-I, Probability &amp; Statistics, AI&amp;ML, DSA</w:t>
      </w:r>
    </w:p>
    <w:p w:rsidR="00000000" w:rsidDel="00000000" w:rsidP="00000000" w:rsidRDefault="00000000" w:rsidRPr="00000000" w14:paraId="00000007">
      <w:pPr>
        <w:pStyle w:val="Heading1"/>
        <w:tabs>
          <w:tab w:val="left" w:leader="none" w:pos="360"/>
        </w:tabs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tabs>
          <w:tab w:val="right" w:leader="none" w:pos="3600"/>
        </w:tabs>
        <w:spacing w:after="38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Programming Languages and Database: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  <w:tab/>
        <w:tab/>
        <w:t xml:space="preserve">Python, SQL</w:t>
      </w:r>
    </w:p>
    <w:p w:rsidR="00000000" w:rsidDel="00000000" w:rsidP="00000000" w:rsidRDefault="00000000" w:rsidRPr="00000000" w14:paraId="00000009">
      <w:pPr>
        <w:tabs>
          <w:tab w:val="right" w:leader="none" w:pos="360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Visualization Tools: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ab/>
        <w:t xml:space="preserve">Power BI, Tableau, MS Excel, MS PowerPoint, Canva</w:t>
      </w:r>
    </w:p>
    <w:p w:rsidR="00000000" w:rsidDel="00000000" w:rsidP="00000000" w:rsidRDefault="00000000" w:rsidRPr="00000000" w14:paraId="0000000A">
      <w:pPr>
        <w:tabs>
          <w:tab w:val="right" w:leader="none" w:pos="360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Certifications: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                                                               Accenture Data Analysis (Forage)</w:t>
      </w:r>
    </w:p>
    <w:p w:rsidR="00000000" w:rsidDel="00000000" w:rsidP="00000000" w:rsidRDefault="00000000" w:rsidRPr="00000000" w14:paraId="0000000B">
      <w:pPr>
        <w:tabs>
          <w:tab w:val="right" w:leader="none" w:pos="360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Soft Skills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                                                                   Analytical Skills, Communication,Organization Skills, Research Skills, Writing    </w:t>
      </w:r>
    </w:p>
    <w:p w:rsidR="00000000" w:rsidDel="00000000" w:rsidP="00000000" w:rsidRDefault="00000000" w:rsidRPr="00000000" w14:paraId="0000000C">
      <w:pPr>
        <w:pStyle w:val="Heading1"/>
        <w:tabs>
          <w:tab w:val="left" w:leader="none" w:pos="36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Cinematic Sentiments: Analyzing Movie Reviews Using NLP</w:t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(Python, ML, Statistics, NLTK toolkit)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Proficient in data preprocessing (Tokenization, stop words removal) and advanced feature extraction</w:t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(Countvectorizer, TF-IDF)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Improved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model accuracy by 20%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15,000 reviews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and achieved 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15% performance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boost through optimization of logistic regression and SVM algorithms</w:t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Table Talk: Exploring User Engagement for Restaurant Success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(SQL, Python, Visualization, Statistics, Jupyter Notebook, SQLite)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 of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150k businesses, 35k are open restaurants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4-star ratings peak engagement,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declining at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5 stars due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saturation or selectivity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Elite Users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drive reviews and loyalty.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Peak hours (4pm – 1am)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highlight optimal staffing and resource times for efficiency</w:t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Electric Vehicle Fleet Insights</w:t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(Power BI, SQL)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datasets include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150.42k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electric vehicles, with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BEVs at 78%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PHEVs at 22%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Adoption rises yearly, with an average range of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67.83.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Tesla, Nissan, and Chevrolet lead the market.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41.81%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of EVs qualify for CAVF incentives, with BEVs being the most eligible.</w:t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800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Bank Loan Dashboard And Analysis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E">
      <w:pPr>
        <w:tabs>
          <w:tab w:val="right" w:leader="none" w:pos="1080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(SQL, Power BI)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Developed a Banking Loan System Dashboard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Created an interactive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Power BI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dashboard analyzing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6000+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loan entries, ensuring data accuracy with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Implemented 5+ KPIs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monitor loan metrics with real-time updates.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Enhanced Reporting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Enabled strategic decision-making through detailed visualizations and interactive elements, providing actionable insights for stakeholders.</w:t>
      </w:r>
    </w:p>
    <w:p w:rsidR="00000000" w:rsidDel="00000000" w:rsidP="00000000" w:rsidRDefault="00000000" w:rsidRPr="00000000" w14:paraId="00000022">
      <w:pPr>
        <w:pStyle w:val="Heading1"/>
        <w:tabs>
          <w:tab w:val="left" w:leader="none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of Responsibility</w:t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Marketing Sub-Head, PECFEST                                                                                    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Generated approximately ₹70,000 in funds through on-ground marketing and email campaigns. 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Successfully closed 20% of deals.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IB Member, ACM-CSS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Increased participation in workshops by 40%.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Gained knowledge in communication, teamwork, management software, and computing skills.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Successfully organized a hackathon.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06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left" w:leader="none" w:pos="360"/>
      </w:tabs>
      <w:spacing w:after="200" w:before="200" w:line="240" w:lineRule="auto"/>
      <w:ind w:left="0" w:right="0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handelwalpunit935@gmail.com" TargetMode="External"/><Relationship Id="rId7" Type="http://schemas.openxmlformats.org/officeDocument/2006/relationships/hyperlink" Target="https://www.linkedin.com/in/punit-gupta-01500525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