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Clement Abioye</w:t>
      </w:r>
    </w:p>
    <w:p>
      <w:r>
        <w:t>From: Jamal Okonkwo, Counsel, Employment</w:t>
      </w:r>
    </w:p>
    <w:p>
      <w:r>
        <w:t>Re: Proposed 12% Reduction in Force — WARN Act Trigger, Selection Criteria Framework, and Pre-Implementation Adverse Impact Analysis</w:t>
      </w:r>
    </w:p>
    <w:p>
      <w:r>
        <w:t>Privileged and Confidential — Attorney Work Product</w:t>
      </w:r>
    </w:p>
    <w:p>
      <w:pPr>
        <w:pStyle w:val="Heading2"/>
      </w:pPr>
      <w:r>
        <w:t>I. Summary</w:t>
      </w:r>
    </w:p>
    <w:p>
      <w:r>
        <w:t>This memorandum addresses three questions raised in connection with the proposed reduction in force affecting approximately 12% of headcount: (1) whether the WARN Act's 60-day notice requirement is triggered; (2) how to structure objective, documented selection criteria that will hold up under disparate treatment and disparate impact scrutiny; and (3) the methodology for a pre-implementation adverse impact analysis, including the required cross-check against two identified risk populations. The unwelcome answer first: on the facts available today, WARN notice is arguably triggered, and we cannot rule it out until we have the location-by-location and unit-by-unit headcount breakdown requested separately. Everything below should be read as provisional on that data.</w:t>
      </w:r>
    </w:p>
    <w:p>
      <w:pPr>
        <w:pStyle w:val="Heading2"/>
      </w:pPr>
      <w:r>
        <w:t>II. WARN Act Trigger Assessment</w:t>
      </w:r>
    </w:p>
    <w:p>
      <w:r>
        <w:t>The federal WARN Act requires 60 days' advance written notice to affected employees, the state dislocated worker unit, and local government where a covered employer orders a 'plant closing' or 'mass layoff.' A mass layoff is triggered at a single site of employment when the reduction affects (a) 50-499 employees if that number is 33% or more of the active workforce at that site, or (b) 500 or more employees regardless of percentage. Reductions across separate sites are not aggregated under federal law unless the sites are proximate and functionally integrated — a fact question we have not yet resolved.</w:t>
      </w:r>
    </w:p>
    <w:p>
      <w:pPr>
        <w:pStyle w:val="ListBullet"/>
      </w:pPr>
      <w:r>
        <w:t>A 12% reduction applied evenly across a large, multi-site workforce may fall below the 33% site threshold everywhere and trigger nothing federally.</w:t>
      </w:r>
    </w:p>
    <w:p>
      <w:pPr>
        <w:pStyle w:val="ListBullet"/>
      </w:pPr>
      <w:r>
        <w:t>The same 12% concentrated in one or two smaller facilities will very likely cross the 33%/50-employee threshold at those sites and trigger notice there specifically.</w:t>
      </w:r>
    </w:p>
    <w:p>
      <w:pPr>
        <w:pStyle w:val="ListBullet"/>
      </w:pPr>
      <w:r>
        <w:t>Several states (including so-called 'mini-WARN' statutes) set lower numerical thresholds, shorter or longer notice periods, or broader aggregation rules than federal law — state analysis cannot be skipped once we know the locations involved.</w:t>
      </w:r>
    </w:p>
    <w:p>
      <w:pPr>
        <w:pStyle w:val="ListBullet"/>
      </w:pPr>
      <w:r>
        <w:t>The 90-day 'single employer' and 'snapshot period' aggregation rules mean layoffs within 90 days of each other at the same site can be combined to reach a threshold even if no single round does so alone — relevant if this RIF follows or precedes any other headcount action.</w:t>
      </w:r>
    </w:p>
    <w:p>
      <w:r>
        <w:t>Bottom line: WARN status cannot be determined in the abstract. We have asked for the location and headcount breakdown and will not have a defensible answer until it arrives. Arguably the safer working assumption for planning purposes is that notice is triggered at least at one site, given the concentration typical of RIFs of this size, and the 60-day notice period should be built into the implementation timeline now rather than added later.</w:t>
      </w:r>
    </w:p>
    <w:p>
      <w:pPr>
        <w:pStyle w:val="Heading2"/>
      </w:pPr>
      <w:r>
        <w:t>III. Objective Selection Criteria Framework</w:t>
      </w:r>
    </w:p>
    <w:p>
      <w:r>
        <w:t>Selection criteria need to do two things simultaneously: withstand a McDonnell Douglas-style disparate treatment challenge from any individual selected employee, and withstand a disparate impact challenge from a group defined by protected characteristic. Both require the criteria to be defined and documented before selections are made, not reconstructed afterward to justify a list someone already had in mind.</w:t>
      </w:r>
    </w:p>
    <w:p>
      <w:pPr>
        <w:pStyle w:val="Heading3"/>
      </w:pPr>
      <w:r>
        <w:t>A. Criteria structure</w:t>
      </w:r>
    </w:p>
    <w:p>
      <w:pPr>
        <w:pStyle w:val="ListNumber"/>
      </w:pPr>
      <w:r>
        <w:t>Define the business rationale for the reduction and the unit of analysis (department, function, or job classification) before any names are attached to it. The unit of analysis should be defensible on its own terms, independent of who happens to sit in it.</w:t>
      </w:r>
    </w:p>
    <w:p>
      <w:pPr>
        <w:pStyle w:val="ListNumber"/>
      </w:pPr>
      <w:r>
        <w:t>Select factors that are job-related and consistently applied: documented performance ratings over a defined look-back period, disciplinary history, specific skills or certifications tied to a retained function, and — only if used transparently and applied last — seniority.</w:t>
      </w:r>
    </w:p>
    <w:p>
      <w:pPr>
        <w:pStyle w:val="ListNumber"/>
      </w:pPr>
      <w:r>
        <w:t>Avoid factors that are unverifiable, subjective, or newly introduced for this exercise (e.g., a manager's undocumented assessment of 'attitude' or 'fit'). If a factor was not part of the ordinary performance management process before the RIF was contemplated, it should not appear now.</w:t>
      </w:r>
    </w:p>
    <w:p>
      <w:pPr>
        <w:pStyle w:val="ListNumber"/>
      </w:pPr>
      <w:r>
        <w:t>Score or rank employees within each unit of analysis using the same factors and weighting, applied by the same decision-makers or a calibration committee, with the scoring recorded contemporaneously.</w:t>
      </w:r>
    </w:p>
    <w:p>
      <w:pPr>
        <w:pStyle w:val="ListNumber"/>
      </w:pPr>
      <w:r>
        <w:t>Document the rationale for each selection and each retention in writing, tied to the recorded factors, before the list is finalized.</w:t>
      </w:r>
    </w:p>
    <w:p>
      <w:pPr>
        <w:pStyle w:val="Heading3"/>
      </w:pPr>
      <w:r>
        <w:t>B. What this protects against</w:t>
      </w:r>
    </w:p>
    <w:p>
      <w:r>
        <w:t>A documented, factor-based process gives us a legitimate, nondiscriminatory explanation for each selection if a terminated employee brings a discrimination claim, and it gives us the record needed to run the adverse impact analysis in Section IV before implementation rather than defend it after the fact in litigation.</w:t>
      </w:r>
    </w:p>
    <w:p>
      <w:pPr>
        <w:pStyle w:val="Heading2"/>
      </w:pPr>
      <w:r>
        <w:t>IV. Pre-Implementation Adverse Impact Analysis</w:t>
      </w:r>
    </w:p>
    <w:p>
      <w:pPr>
        <w:pStyle w:val="Heading3"/>
      </w:pPr>
      <w:r>
        <w:t>A. Methodology</w:t>
      </w:r>
    </w:p>
    <w:p>
      <w:r>
        <w:t>Before any notice goes out, we run a statistical comparison of selection rates by protected category — at minimum age (40+), sex, and race/ethnicity, with national origin and disability added if the data supports it — against the applicable EEOC four-fifths rule and, for larger units, a standard deviation test. The analysis is run at the unit of analysis defined in Section III, not just company-wide, because impact can be concealed in an aggregate and concentrated within a department.</w:t>
      </w:r>
    </w:p>
    <w:p>
      <w:pPr>
        <w:pStyle w:val="ListBullet"/>
      </w:pPr>
      <w:r>
        <w:t>Selection rate by group = number selected for layoff in group ÷ total employees in group, within each unit of analysis.</w:t>
      </w:r>
    </w:p>
    <w:p>
      <w:pPr>
        <w:pStyle w:val="ListBullet"/>
      </w:pPr>
      <w:r>
        <w:t>Four-fifths rule: if the selection rate for any protected group is less than 80% of the rate for the group with the most favorable rate, the ratio flags for further review.</w:t>
      </w:r>
    </w:p>
    <w:p>
      <w:pPr>
        <w:pStyle w:val="ListBullet"/>
      </w:pPr>
      <w:r>
        <w:t>For units large enough to support it, a two-standard-deviation test on the difference between expected and observed selections by group.</w:t>
      </w:r>
    </w:p>
    <w:p>
      <w:pPr>
        <w:pStyle w:val="ListBullet"/>
      </w:pPr>
      <w:r>
        <w:t>Any flagged unit is sent back for a factor-by-factor review before finalization — not necessarily reversed, but the underlying rationale for each flagged selection needs to independently justify the outcome.</w:t>
      </w:r>
    </w:p>
    <w:p>
      <w:pPr>
        <w:pStyle w:val="Heading3"/>
      </w:pPr>
      <w:r>
        <w:t>B. Required cross-checks</w:t>
      </w:r>
    </w:p>
    <w:p>
      <w:r>
        <w:t>Independent of the statistical analysis, the proposed selection list must be checked by name against two specific populations before it is finalized, given current litigation exposure:</w:t>
      </w:r>
    </w:p>
    <w:p>
      <w:pPr>
        <w:pStyle w:val="ListNumber"/>
      </w:pPr>
      <w:r>
        <w:t>The driver wage-and-hour claimants in the pending multi-site matter. Any claimant appearing on the RIF list is a retaliation risk on its face; selection of a claimant needs an independently strong, well-documented business justification reviewed by this office before the list is finalized, and ideally corroborating evidence that the selection was decided (or the unit of analysis defined) before the claim was known or filed.</w:t>
      </w:r>
    </w:p>
    <w:p>
      <w:pPr>
        <w:pStyle w:val="ListNumber"/>
      </w:pPr>
      <w:r>
        <w:t>Individuals connected to the pending harassment investigation, whether as complainant, respondent, or identified witness. The same retaliation exposure applies to complainants and witnesses; separately, selecting a respondent before the investigation concludes can be read either way and should be discussed with this office specifically before that name is finalized, given the parallel proceeding.</w:t>
      </w:r>
    </w:p>
    <w:p>
      <w:r>
        <w:t>Both cross-checks should happen after the objective scoring in Section III is complete and before the list is presented for final sign-off — the sequence matters, because a cross-check performed first and used to adjust scores would undermine the argument that the criteria were applied consistently.</w:t>
      </w:r>
    </w:p>
    <w:p>
      <w:pPr>
        <w:pStyle w:val="Heading2"/>
      </w:pPr>
      <w:r>
        <w:t>V. Open Items and Next Steps</w:t>
      </w:r>
    </w:p>
    <w:p>
      <w:pPr>
        <w:pStyle w:val="ListBullet"/>
      </w:pPr>
      <w:r>
        <w:t>Location- and unit-level headcount breakdown — required before the WARN determination in Section II can be finalized.</w:t>
      </w:r>
    </w:p>
    <w:p>
      <w:pPr>
        <w:pStyle w:val="ListBullet"/>
      </w:pPr>
      <w:r>
        <w:t>Draft selection factors and weighting per unit of analysis — to be reviewed by this office before scoring begins.</w:t>
      </w:r>
    </w:p>
    <w:p>
      <w:pPr>
        <w:pStyle w:val="ListBullet"/>
      </w:pPr>
      <w:r>
        <w:t>Names and matter status for the wage-and-hour claimant group and the harassment investigation participant group — needed to run the Section IV.B cross-checks.</w:t>
      </w:r>
    </w:p>
    <w:p>
      <w:pPr>
        <w:pStyle w:val="ListBullet"/>
      </w:pPr>
      <w:r>
        <w:t>A call this week, once the headcount data is available, to walk through the adverse impact results and finalize the WARN notice timeline.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