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File – Ardmore Elevator / Supplier Dispute</w:t>
      </w:r>
    </w:p>
    <w:p>
      <w:r>
        <w:t>From: Ingrid Solheim, Senior Associate, Corporate</w:t>
      </w:r>
    </w:p>
    <w:p>
      <w:r>
        <w:t>Re: Confirmation of Firm's Holding Position on Supplier Dispute (No Counterclaim); Status of Escalation to Whitfield; Response to Imelda's Escalation Inquiry</w:t>
      </w:r>
    </w:p>
    <w:p>
      <w:pPr>
        <w:pStyle w:val="Heading2"/>
      </w:pPr>
      <w:r>
        <w:t>1. Purpose</w:t>
      </w:r>
    </w:p>
    <w:p>
      <w:r>
        <w:t>This memorandum confirms the firm's current position on the supplier dispute affecting the Ardmore Elevator transaction, and creates a clear internal record of that position, of the status of escalation efforts directed at Whitfield and its counsel, and of the escalation pressure raised by Imelda ahead of today's board call, before matters are pressed further with Whitfield.</w:t>
      </w:r>
    </w:p>
    <w:p>
      <w:pPr>
        <w:pStyle w:val="Heading2"/>
      </w:pPr>
      <w:r>
        <w:t>2. Holding Position: No Counterclaim</w:t>
      </w:r>
    </w:p>
    <w:p>
      <w:r>
        <w:t>The firm's recommendation, unchanged since it was first given, is to hold on the supplier dispute and not to assert a counterclaim at this time. That recommendation rests on the current state of the record, which remains incomplete: the identity of the holder of the estoppel certificate file has not been confirmed, and the location of the supplier counterclaim file itself has not been located, despite repeated requests to Dov. Advancing a counterclaim without first establishing those basic facts would be premature and could commit the client to a position the file cannot yet support.</w:t>
      </w:r>
    </w:p>
    <w:p>
      <w:r>
        <w:t>This position has no impact on the closing timeline for the Ardmore Elevator transaction. That has been confirmed to Quentin directly and is restated here for the file.</w:t>
      </w:r>
    </w:p>
    <w:p>
      <w:pPr>
        <w:pStyle w:val="Heading2"/>
      </w:pPr>
      <w:r>
        <w:t>3. Escalation Status – Whitfield</w:t>
      </w:r>
    </w:p>
    <w:p>
      <w:r>
        <w:t>Escalation to Whitfield and its counsel was warranted and has been actioned. The basis for escalation: three days of silence from Whitfield/counsel following the firm's chases, and no response to Ingrid's own direct outreach in that same window. Rather than continue to attempt to reschedule the call that Whitfield has not engaged with, the firm moved to a deadline letter.</w:t>
      </w:r>
    </w:p>
    <w:p>
      <w:r>
        <w:t>The Deadline Letter – Confirmation of Outstanding MIP Figures was sent to Whitfield today. As of this writing, no response has been received. The MIP figures checklist item accordingly remains open pending Whitfield's response, and the fee estimate through closing has been revised to reflect increased fees and contingency on that basis.</w:t>
      </w:r>
    </w:p>
    <w:p>
      <w:pPr>
        <w:pStyle w:val="Heading2"/>
      </w:pPr>
      <w:r>
        <w:t>4. Escalation Status – Supplier Counterclaim File / Estoppel Certificate Holder</w:t>
      </w:r>
    </w:p>
    <w:p>
      <w:r>
        <w:t>Separately, there is still no update from Dov on either (a) the identity of the holder of the estoppel certificate file, or (b) the location of the supplier counterclaim file. This has now been chased three times without a substantive response. Quentin has been told to escalate past Dov to his supervisor or outside counsel to obtain the holder identification and the file; the firm has offered to escalate in parallel if that does not produce a prompt answer. Mira has separately been given status on this point and pointed to Dov as the appropriate starting contact, with the same caveat that his responsiveness to date has been poor.</w:t>
      </w:r>
    </w:p>
    <w:p>
      <w:pPr>
        <w:pStyle w:val="Heading2"/>
      </w:pPr>
      <w:r>
        <w:t>5. Response to Imelda's Escalation Pressure</w:t>
      </w:r>
    </w:p>
    <w:p>
      <w:r>
        <w:t>Imelda raised escalation pressure ahead of today's board call. The firm's response, delivered to her directly alongside the current fee estimate, is as follows: the escalation to Whitfield has moved from informal chasing to a formal deadline letter, sent today, with no response yet received; the MIP figures item remains open on that basis; the good standing certificate item (Ref #1, Section I) has closed following Ardmore Elevator's good standing confirmation, which trims the remaining diligence workstream slightly; and the hold-not-counterclaim position on the supplier dispute is unchanged and continues to carry no closing timeline impact.</w:t>
      </w:r>
    </w:p>
    <w:p>
      <w:r>
        <w:t>This memorandum is intended to stand as the internal record of that position and of the reasoning behind it, ahead of any further steps with Whitfield.</w:t>
      </w:r>
    </w:p>
    <w:p>
      <w:pPr>
        <w:pStyle w:val="Heading2"/>
      </w:pPr>
      <w:r>
        <w:t>6. Related Firm Records</w:t>
      </w:r>
    </w:p>
    <w:p>
      <w:pPr>
        <w:pStyle w:val="ListNumber"/>
      </w:pPr>
      <w:r>
        <w:t>doc-000172 (revised): Good standing certificate item (Ref #1, Section I) closed; Corporate/Good Standing summary updated to 12 closed, 0 open.</w:t>
      </w:r>
    </w:p>
    <w:p>
      <w:pPr>
        <w:pStyle w:val="ListNumber"/>
      </w:pPr>
      <w:r>
        <w:t>Deadline Letter – Confirmation of Outstanding MIP Figures (sent to Whitfield today).</w:t>
      </w:r>
    </w:p>
    <w:p>
      <w:pPr>
        <w:pStyle w:val="ListNumber"/>
      </w:pPr>
      <w:r>
        <w:t>doc-000013 (revised): Reviewer annotations added flagging thin-record assertions and unresolved cite gaps relevant to the supplier dispute analysis; sign-off given on sections that stand as drafted.</w:t>
      </w:r>
    </w:p>
    <w:p>
      <w:pPr>
        <w:pStyle w:val="ListNumber"/>
      </w:pPr>
      <w:r>
        <w:t>Firmwide Practice Note: Read-Aloud To/CC Policy on Escalation and Tracker Logging.</w:t>
      </w:r>
    </w:p>
    <w:p>
      <w:pPr>
        <w:pStyle w:val="ListNumber"/>
      </w:pPr>
      <w:r>
        <w:t>doc-000207 (revised): Fee estimate through closing updated to reflect deadline-letter escalation, open MIP item, and closed good standing item.</w:t>
      </w:r>
    </w:p>
    <w:p>
      <w:pPr>
        <w:pStyle w:val="Heading2"/>
      </w:pPr>
      <w:r>
        <w:t>7. Next Steps</w:t>
      </w:r>
    </w:p>
    <w:p>
      <w:pPr>
        <w:pStyle w:val="ListNumber"/>
      </w:pPr>
      <w:r>
        <w:t>Monitor for Whitfield's response to the deadline letter; escalate further if no response is received within the stated deadline.</w:t>
      </w:r>
    </w:p>
    <w:p>
      <w:pPr>
        <w:pStyle w:val="ListNumber"/>
      </w:pPr>
      <w:r>
        <w:t>Continue to press for escalation past Dov to his supervisor or counsel on the estoppel certificate holder and supplier counterclaim file.</w:t>
      </w:r>
    </w:p>
    <w:p>
      <w:pPr>
        <w:pStyle w:val="ListNumber"/>
      </w:pPr>
      <w:r>
        <w:t>Maintain the hold-not-counterclaim position pending resolution of the file and holder identification issues; revisit only if new facts materially change the analysis.</w:t>
      </w:r>
    </w:p>
    <w:p>
      <w:pPr>
        <w:pStyle w:val="ListNumber"/>
      </w:pPr>
      <w:r>
        <w:t>Keep the fee estimate and checklist status current in real time per the firmwide tracker logging protocol.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