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End-of-Day Docket Sweep — 4/3</w:t>
      </w:r>
    </w:p>
    <w:p>
      <w:r>
        <w:t>Prepared by T. Mokoena, Docket &amp; Calendar Manager. Status reflects docket text and direct confirmations as of 16:30 ET. Two items remain unresolved and are escalated below.</w:t>
      </w:r>
    </w:p>
    <w:p>
      <w:pPr>
        <w:pStyle w:val="Heading2"/>
      </w:pPr>
      <w:r>
        <w:t>Escalated Item 1: Ardmore Good Standing Filing</w:t>
      </w:r>
    </w:p>
    <w:p>
      <w:r>
        <w:t>Deadline: 4/2, 4:00 PM ET — MISSED. Days remaining: 0. Filing did not go out before the clerk's cutoff and is now queued for tomorrow's clerk window (4/4).</w:t>
      </w:r>
    </w:p>
    <w:p>
      <w:r>
        <w:t>Owner: Lucien, confirmed as of today following the missed cutoff. Ownership was reassigned from the Deshmukh/Ardmore-adjacent matter; this is a staffing/ownership confirmation only and carries no new deadline of its own.</w:t>
      </w:r>
    </w:p>
    <w:p>
      <w:r>
        <w:t>Days-elapsed tracking carries forward from the original 4/2 deadline rather than resetting on reassignment. Lucien has been asked directly for a remediation date; none received as of this sweep.</w:t>
      </w:r>
    </w:p>
    <w:p>
      <w:r>
        <w:t>Status: OPEN — ESCALATED. No remediation date on file.</w:t>
      </w:r>
    </w:p>
    <w:p>
      <w:pPr>
        <w:pStyle w:val="Heading2"/>
      </w:pPr>
      <w:r>
        <w:t>Escalated Item 2: Jamal Non-Privilege Sign-Off (Ardmore/Whitfield)</w:t>
      </w:r>
    </w:p>
    <w:p>
      <w:r>
        <w:t>Deadline: tonight, EOD 4/3. Days remaining: 0.</w:t>
      </w:r>
    </w:p>
    <w:p>
      <w:r>
        <w:t>This item originated as a separate flag raised by Lucien, distinct from the Ardmore good standing filing split. Scope was confirmed as Jamal's non-privilege confirmation on Ardmore/Whitfield and logged as its own line item.</w:t>
      </w:r>
    </w:p>
    <w:p>
      <w:r>
        <w:t>Jamal was chased directly twice today with the tonight-EOD, 0-days-remaining deadline restated each time. No confirmation received as of this sweep.</w:t>
      </w:r>
    </w:p>
    <w:p>
      <w:r>
        <w:t>Ownership update: Bennett has acknowledged taking ownership of this sign-off. New deadline confirmed as EOD tomorrow (4/4). This supersedes the tonight-EOD deadline for calendaring purposes; the missed 4/3 deadline is logged below as a slip.</w:t>
      </w:r>
    </w:p>
    <w:p>
      <w:r>
        <w:t>Status: OPEN — ESCALATED, reassigned to Bennett, new deadline 4/4 EOD.</w:t>
      </w:r>
    </w:p>
    <w:p>
      <w:pPr>
        <w:pStyle w:val="Heading2"/>
      </w:pPr>
      <w:r>
        <w:t>Related, Out of Scope: Deshmukh/Ardmore-Adjacent</w:t>
      </w:r>
    </w:p>
    <w:p>
      <w:r>
        <w:t>Remains out of scope pending Jamal's confirmation on the non-privilege point above. Logged separately from the Ardmore good standing filing. Filing responsibility on this thread was confirmed reassigned to Lucien — staffing confirmation only, no new deadline, and does not affect the three open calendar items tracked on this matter (written-direction date, Position Statement review-completion date, internal call date/Roland's availability).</w:t>
      </w:r>
    </w:p>
    <w:p>
      <w:pPr>
        <w:pStyle w:val="Heading2"/>
      </w:pPr>
      <w:r>
        <w:t>Docket Status Table — All Open Matters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Matter</w:t>
            </w:r>
          </w:p>
        </w:tc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Deadline</w:t>
            </w:r>
          </w:p>
        </w:tc>
        <w:tc>
          <w:tcPr>
            <w:tcW w:type="dxa" w:w="1440"/>
          </w:tcPr>
          <w:p>
            <w:r>
              <w:t>Days Remaining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Ardmore/Whitfield</w:t>
            </w:r>
          </w:p>
        </w:tc>
        <w:tc>
          <w:tcPr>
            <w:tcW w:type="dxa" w:w="1440"/>
          </w:tcPr>
          <w:p>
            <w:r>
              <w:t>Good standing filing (missed 4/2 4pm)</w:t>
            </w:r>
          </w:p>
        </w:tc>
        <w:tc>
          <w:tcPr>
            <w:tcW w:type="dxa" w:w="1440"/>
          </w:tcPr>
          <w:p>
            <w:r>
              <w:t>4/4 clerk queue</w:t>
            </w:r>
          </w:p>
        </w:tc>
        <w:tc>
          <w:tcPr>
            <w:tcW w:type="dxa" w:w="1440"/>
          </w:tcPr>
          <w:p>
            <w:r>
              <w:t>0 (elapsed carried forward)</w:t>
            </w:r>
          </w:p>
        </w:tc>
        <w:tc>
          <w:tcPr>
            <w:tcW w:type="dxa" w:w="1440"/>
          </w:tcPr>
          <w:p>
            <w:r>
              <w:t>Lucien</w:t>
            </w:r>
          </w:p>
        </w:tc>
        <w:tc>
          <w:tcPr>
            <w:tcW w:type="dxa" w:w="1440"/>
          </w:tcPr>
          <w:p>
            <w:r>
              <w:t>Open — Escalated</w:t>
            </w:r>
          </w:p>
        </w:tc>
      </w:tr>
      <w:tr>
        <w:tc>
          <w:tcPr>
            <w:tcW w:type="dxa" w:w="1440"/>
          </w:tcPr>
          <w:p>
            <w:r>
              <w:t>Ardmore/Whitfield</w:t>
            </w:r>
          </w:p>
        </w:tc>
        <w:tc>
          <w:tcPr>
            <w:tcW w:type="dxa" w:w="1440"/>
          </w:tcPr>
          <w:p>
            <w:r>
              <w:t>Non-privilege sign-off (Jamal item)</w:t>
            </w:r>
          </w:p>
        </w:tc>
        <w:tc>
          <w:tcPr>
            <w:tcW w:type="dxa" w:w="1440"/>
          </w:tcPr>
          <w:p>
            <w:r>
              <w:t>4/4 EOD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Bennett</w:t>
            </w:r>
          </w:p>
        </w:tc>
        <w:tc>
          <w:tcPr>
            <w:tcW w:type="dxa" w:w="1440"/>
          </w:tcPr>
          <w:p>
            <w:r>
              <w:t>Open — Escalated, reassigned</w:t>
            </w:r>
          </w:p>
        </w:tc>
      </w:tr>
      <w:tr>
        <w:tc>
          <w:tcPr>
            <w:tcW w:type="dxa" w:w="1440"/>
          </w:tcPr>
          <w:p>
            <w:r>
              <w:t>Ardmore/Whitfield (Deshmukh-adjacent)</w:t>
            </w:r>
          </w:p>
        </w:tc>
        <w:tc>
          <w:tcPr>
            <w:tcW w:type="dxa" w:w="1440"/>
          </w:tcPr>
          <w:p>
            <w:r>
              <w:t>Written-direction date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  <w:tr>
        <w:tc>
          <w:tcPr>
            <w:tcW w:type="dxa" w:w="1440"/>
          </w:tcPr>
          <w:p>
            <w:r>
              <w:t>Ardmore/Whitfield (Deshmukh-adjacent)</w:t>
            </w:r>
          </w:p>
        </w:tc>
        <w:tc>
          <w:tcPr>
            <w:tcW w:type="dxa" w:w="1440"/>
          </w:tcPr>
          <w:p>
            <w:r>
              <w:t>Position Statement review-completion date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  <w:tr>
        <w:tc>
          <w:tcPr>
            <w:tcW w:type="dxa" w:w="1440"/>
          </w:tcPr>
          <w:p>
            <w:r>
              <w:t>Ardmore/Whitfield (Deshmukh-adjacent)</w:t>
            </w:r>
          </w:p>
        </w:tc>
        <w:tc>
          <w:tcPr>
            <w:tcW w:type="dxa" w:w="1440"/>
          </w:tcPr>
          <w:p>
            <w:r>
              <w:t>Internal call date (Roland's availability)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</w:tbl>
    <w:p>
      <w:pPr>
        <w:pStyle w:val="Heading2"/>
      </w:pPr>
      <w:r>
        <w:t>Next Steps</w:t>
      </w:r>
    </w:p>
    <w:p>
      <w:pPr>
        <w:pStyle w:val="ListNumber"/>
      </w:pPr>
      <w:r>
        <w:t>Confirm 4/4 clerk queue filing of Ardmore good standing item; obtain remediation date from Lucien.</w:t>
      </w:r>
    </w:p>
    <w:p>
      <w:pPr>
        <w:pStyle w:val="ListNumber"/>
      </w:pPr>
      <w:r>
        <w:t>Chase Bennett for non-privilege sign-off ahead of 4/4 EOD deadline.</w:t>
      </w:r>
    </w:p>
    <w:p>
      <w:pPr>
        <w:pStyle w:val="ListNumber"/>
      </w:pPr>
      <w:r>
        <w:t>Hold Deshmukh/Ardmore-adjacent items open pending resolution of the non-privilege confirmation.</w:t>
      </w:r>
    </w:p>
    <w:p>
      <w:pPr>
        <w:pStyle w:val="ListNumber"/>
      </w:pPr>
      <w:r>
        <w:t>No action required on Deshmukh/Ardmore filing reassignment note — logged for record only, no calendar change.</w:t>
      </w:r>
    </w:p>
    <w:p>
      <w:r>
        <w:t>Source note: all deadlines above are calendared from court docket text where applicable, not from attorney representations. Sharing: open, per standard practice.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