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Investigation Plan and Witness Interview Outline</w:t>
      </w:r>
    </w:p>
    <w:p>
      <w:r>
        <w:t>Re: Clement Abioye Harassment Matter — Attorney Work Product / Privileged and Confidential</w:t>
      </w:r>
    </w:p>
    <w:p>
      <w:r>
        <w:t>This memorandum sets out the investigation plan for the harassment complaint involving the supervisor, and the outline for witness interviews. It reflects the outcomes of the 2:00 p.m. call covering investigator selection, leave status, and acknowledgment language, in that order.</w:t>
      </w:r>
    </w:p>
    <w:p>
      <w:pPr>
        <w:pStyle w:val="Heading2"/>
      </w:pPr>
      <w:r>
        <w:t>1. Status Summary</w:t>
      </w:r>
    </w:p>
    <w:p>
      <w:pPr>
        <w:pStyle w:val="ListBullet"/>
      </w:pPr>
      <w:r>
        <w:t>Investigator: Outside investigator candidates to be identified and circulated within one business day of the call. No candidate is to be engaged until conflicts and independence are confirmed.</w:t>
      </w:r>
    </w:p>
    <w:p>
      <w:pPr>
        <w:pStyle w:val="ListBullet"/>
      </w:pPr>
      <w:r>
        <w:t>Leave: The supervisor has been placed on paid precautionary leave, effective as of the 2:00 p.m. call. Notice language to the supervisor is to remain neutral (non-accusatory, non-findings) and is pending my review before issuance.</w:t>
      </w:r>
    </w:p>
    <w:p>
      <w:pPr>
        <w:pStyle w:val="ListBullet"/>
      </w:pPr>
      <w:r>
        <w:t>Preservation: Scheduling-record preservation is ongoing and should not be paused or narrowed pending investigator engagement. Clement's sequence-of-events notes are to continue being maintained contemporaneously.</w:t>
      </w:r>
    </w:p>
    <w:p>
      <w:pPr>
        <w:pStyle w:val="ListBullet"/>
      </w:pPr>
      <w:r>
        <w:t>Employee acknowledgment: The Employee Acknowledgment — Investigation Notice has been approved for use verbatim and is not to be issued in any modified form without my review. It will be locked as of 2:00 p.m. and distributed only after that lock.</w:t>
      </w:r>
    </w:p>
    <w:p>
      <w:pPr>
        <w:pStyle w:val="Heading2"/>
      </w:pPr>
      <w:r>
        <w:t>2. Internal-Documentation Note — Supervisor Overlap with Driver Wage Matter</w:t>
      </w:r>
    </w:p>
    <w:p>
      <w:r>
        <w:t>The supervisor has disclosed an overlap with the Sable Ridge driver meal-break wage-and-hour matter. This overlap does not change the investigator, leave, or preservation plan for this harassment investigation. It is being documented here solely as an internal record of disclosure and does not bear on the scope, sequencing, or substance of the harassment inquiry.</w:t>
      </w:r>
    </w:p>
    <w:p>
      <w:pPr>
        <w:pStyle w:val="ListBullet"/>
      </w:pPr>
      <w:r>
        <w:t>The overlap is to be disclosed to outside investigator candidates as part of the conflicts-check process, so that any candidate can assess independence.</w:t>
      </w:r>
    </w:p>
    <w:p>
      <w:pPr>
        <w:pStyle w:val="ListBullet"/>
      </w:pPr>
      <w:r>
        <w:t>The overlap is not to be raised with the supervisor or with the complaining employee. This instruction has already been given to Clement and is reiterated here for the file.</w:t>
      </w:r>
    </w:p>
    <w:p>
      <w:pPr>
        <w:pStyle w:val="ListBullet"/>
      </w:pPr>
      <w:r>
        <w:t>No further action on the overlap is contemplated in connection with this matter beyond disclosure to investigator candidates and this internal record.</w:t>
      </w:r>
    </w:p>
    <w:p>
      <w:pPr>
        <w:pStyle w:val="Heading2"/>
      </w:pPr>
      <w:r>
        <w:t>3. Investigation Plan</w:t>
      </w:r>
    </w:p>
    <w:p>
      <w:pPr>
        <w:pStyle w:val="Heading3"/>
      </w:pPr>
      <w:r>
        <w:t>3.1 Objectives</w:t>
      </w:r>
    </w:p>
    <w:p>
      <w:r>
        <w:t>Determine whether the conduct alleged by the complaining employee occurred, whether it violates policy, and what remedial action, if any, is warranted. The investigation is not to be used, and should not be perceived, as a vehicle for addressing the unrelated wage-and-hour matter.</w:t>
      </w:r>
    </w:p>
    <w:p>
      <w:pPr>
        <w:pStyle w:val="Heading3"/>
      </w:pPr>
      <w:r>
        <w:t>3.2 Sequencing</w:t>
      </w:r>
    </w:p>
    <w:p>
      <w:pPr>
        <w:pStyle w:val="ListNumber"/>
      </w:pPr>
      <w:r>
        <w:t>Engage outside investigator once conflicts/independence check (including disclosure of the driver-wage overlap) is complete.</w:t>
      </w:r>
    </w:p>
    <w:p>
      <w:pPr>
        <w:pStyle w:val="ListNumber"/>
      </w:pPr>
      <w:r>
        <w:t>Investigator reviews preserved scheduling records and Clement's sequence-of-events notes before conducting interviews.</w:t>
      </w:r>
    </w:p>
    <w:p>
      <w:pPr>
        <w:pStyle w:val="ListNumber"/>
      </w:pPr>
      <w:r>
        <w:t>Employee acknowledgment issued to the complaining employee, verbatim, only after the 2:00 p.m. lock and only through counsel.</w:t>
      </w:r>
    </w:p>
    <w:p>
      <w:pPr>
        <w:pStyle w:val="ListNumber"/>
      </w:pPr>
      <w:r>
        <w:t>Witness interviews conducted per outline below.</w:t>
      </w:r>
    </w:p>
    <w:p>
      <w:pPr>
        <w:pStyle w:val="ListNumber"/>
      </w:pPr>
      <w:r>
        <w:t>Interim status review with counsel before any findings are communicated to the supervisor or employee.</w:t>
      </w:r>
    </w:p>
    <w:p>
      <w:pPr>
        <w:pStyle w:val="Heading3"/>
      </w:pPr>
      <w:r>
        <w:t>3.3 Scope Boundaries</w:t>
      </w:r>
    </w:p>
    <w:p>
      <w:r>
        <w:t>The investigation is confined to the harassment allegations. The supervisor's wage-and-hour overlap is out of scope for interview questioning and is not to be referenced by the investigator when speaking with the supervisor or the complaining employee.</w:t>
      </w:r>
    </w:p>
    <w:p>
      <w:pPr>
        <w:pStyle w:val="Heading2"/>
      </w:pPr>
      <w:r>
        <w:t>4. Witness Interview Outline</w:t>
      </w:r>
    </w:p>
    <w:tbl>
      <w:tblPr>
        <w:tblW w:type="auto" w:w="0"/>
        <w:tblLook w:firstColumn="1" w:firstRow="1" w:lastColumn="0" w:lastRow="0" w:noHBand="0" w:noVBand="1" w:val="04A0"/>
      </w:tblPr>
      <w:tblGrid>
        <w:gridCol w:w="2160"/>
        <w:gridCol w:w="2160"/>
        <w:gridCol w:w="2160"/>
        <w:gridCol w:w="2160"/>
      </w:tblGrid>
      <w:tr>
        <w:tc>
          <w:tcPr>
            <w:tcW w:type="dxa" w:w="2160"/>
          </w:tcPr>
          <w:p>
            <w:r>
              <w:t>Witness</w:t>
            </w:r>
          </w:p>
        </w:tc>
        <w:tc>
          <w:tcPr>
            <w:tcW w:type="dxa" w:w="2160"/>
          </w:tcPr>
          <w:p>
            <w:r>
              <w:t>Role/Relevance</w:t>
            </w:r>
          </w:p>
        </w:tc>
        <w:tc>
          <w:tcPr>
            <w:tcW w:type="dxa" w:w="2160"/>
          </w:tcPr>
          <w:p>
            <w:r>
              <w:t>Key Topics</w:t>
            </w:r>
          </w:p>
        </w:tc>
        <w:tc>
          <w:tcPr>
            <w:tcW w:type="dxa" w:w="2160"/>
          </w:tcPr>
          <w:p>
            <w:r>
              <w:t>Notes</w:t>
            </w:r>
          </w:p>
        </w:tc>
      </w:tr>
      <w:tr>
        <w:tc>
          <w:tcPr>
            <w:tcW w:type="dxa" w:w="2160"/>
          </w:tcPr>
          <w:p>
            <w:r>
              <w:t>Complaining employee</w:t>
            </w:r>
          </w:p>
        </w:tc>
        <w:tc>
          <w:tcPr>
            <w:tcW w:type="dxa" w:w="2160"/>
          </w:tcPr>
          <w:p>
            <w:r>
              <w:t>Reporting party</w:t>
            </w:r>
          </w:p>
        </w:tc>
        <w:tc>
          <w:tcPr>
            <w:tcW w:type="dxa" w:w="2160"/>
          </w:tcPr>
          <w:p>
            <w:r>
              <w:t>Sequence of events, dates, witnesses to specific incidents, impact, prior complaints</w:t>
            </w:r>
          </w:p>
        </w:tc>
        <w:tc>
          <w:tcPr>
            <w:tcW w:type="dxa" w:w="2160"/>
          </w:tcPr>
          <w:p>
            <w:r>
              <w:t>Interview first; acknowledgment must be delivered before this interview</w:t>
            </w:r>
          </w:p>
        </w:tc>
      </w:tr>
      <w:tr>
        <w:tc>
          <w:tcPr>
            <w:tcW w:type="dxa" w:w="2160"/>
          </w:tcPr>
          <w:p>
            <w:r>
              <w:t>Supervisor</w:t>
            </w:r>
          </w:p>
        </w:tc>
        <w:tc>
          <w:tcPr>
            <w:tcW w:type="dxa" w:w="2160"/>
          </w:tcPr>
          <w:p>
            <w:r>
              <w:t>Subject of complaint</w:t>
            </w:r>
          </w:p>
        </w:tc>
        <w:tc>
          <w:tcPr>
            <w:tcW w:type="dxa" w:w="2160"/>
          </w:tcPr>
          <w:p>
            <w:r>
              <w:t>Response to specific allegations, recollection of dates/interactions, awareness of complaint</w:t>
            </w:r>
          </w:p>
        </w:tc>
        <w:tc>
          <w:tcPr>
            <w:tcW w:type="dxa" w:w="2160"/>
          </w:tcPr>
          <w:p>
            <w:r>
              <w:t>No reference to wage-matter overlap; on precautionary leave, coordinate scheduling through counsel</w:t>
            </w:r>
          </w:p>
        </w:tc>
      </w:tr>
      <w:tr>
        <w:tc>
          <w:tcPr>
            <w:tcW w:type="dxa" w:w="2160"/>
          </w:tcPr>
          <w:p>
            <w:r>
              <w:t>Direct coworkers with proximity</w:t>
            </w:r>
          </w:p>
        </w:tc>
        <w:tc>
          <w:tcPr>
            <w:tcW w:type="dxa" w:w="2160"/>
          </w:tcPr>
          <w:p>
            <w:r>
              <w:t>Percipient witnesses</w:t>
            </w:r>
          </w:p>
        </w:tc>
        <w:tc>
          <w:tcPr>
            <w:tcW w:type="dxa" w:w="2160"/>
          </w:tcPr>
          <w:p>
            <w:r>
              <w:t>Observed conduct, workplace culture, contemporaneous statements</w:t>
            </w:r>
          </w:p>
        </w:tc>
        <w:tc>
          <w:tcPr>
            <w:tcW w:type="dxa" w:w="2160"/>
          </w:tcPr>
          <w:p>
            <w:r>
              <w:t>Identify from scheduling records and Clement's notes</w:t>
            </w:r>
          </w:p>
        </w:tc>
      </w:tr>
      <w:tr>
        <w:tc>
          <w:tcPr>
            <w:tcW w:type="dxa" w:w="2160"/>
          </w:tcPr>
          <w:p>
            <w:r>
              <w:t>Prior reporting recipients (HR/management, if any)</w:t>
            </w:r>
          </w:p>
        </w:tc>
        <w:tc>
          <w:tcPr>
            <w:tcW w:type="dxa" w:w="2160"/>
          </w:tcPr>
          <w:p>
            <w:r>
              <w:t>Notice witnesses</w:t>
            </w:r>
          </w:p>
        </w:tc>
        <w:tc>
          <w:tcPr>
            <w:tcW w:type="dxa" w:w="2160"/>
          </w:tcPr>
          <w:p>
            <w:r>
              <w:t>What was reported, when, and what action was taken</w:t>
            </w:r>
          </w:p>
        </w:tc>
        <w:tc>
          <w:tcPr>
            <w:tcW w:type="dxa" w:w="2160"/>
          </w:tcPr>
          <w:p>
            <w:r>
              <w:t>Bears on notice and prior-complaint history</w:t>
            </w:r>
          </w:p>
        </w:tc>
      </w:tr>
    </w:tbl>
    <w:p>
      <w:pPr>
        <w:pStyle w:val="Heading2"/>
      </w:pPr>
      <w:r>
        <w:t>5. Open Items</w:t>
      </w:r>
    </w:p>
    <w:p>
      <w:pPr>
        <w:pStyle w:val="ListBullet"/>
      </w:pPr>
      <w:r>
        <w:t>Confirm outside investigator engagement letter and independence check, including the disclosed overlap.</w:t>
      </w:r>
    </w:p>
    <w:p>
      <w:pPr>
        <w:pStyle w:val="ListBullet"/>
      </w:pPr>
      <w:r>
        <w:t>Finalize and issue neutral leave notice to the supervisor upon my review.</w:t>
      </w:r>
    </w:p>
    <w:p>
      <w:pPr>
        <w:pStyle w:val="ListBullet"/>
      </w:pPr>
      <w:r>
        <w:t>Confirm delivery of the locked acknowledgment to the complaining employee.</w:t>
      </w:r>
    </w:p>
    <w:p>
      <w:pPr>
        <w:pStyle w:val="ListBullet"/>
      </w:pPr>
      <w:r>
        <w:t>Continue scheduling-record preservation and Clement's contemporaneous notes through investigator engagement.</w:t>
      </w:r>
    </w:p>
    <w:p>
      <w:r>
        <w:t>Arguably the more delicate item here is not the investigation itself but keeping the two matters administratively separate on paper as well as in substance. This memo, and the internal note in Section 2, are intended to do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