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Coastal Meridian Consolidated Industries, Inc.</w:t>
            </w:r>
          </w:p>
        </w:tc>
      </w:tr>
      <w:tr>
        <w:tc>
          <w:tcPr>
            <w:tcW w:type="dxa" w:w="4320"/>
          </w:tcPr>
          <w:p>
            <w:r>
              <w:t>From</w:t>
            </w:r>
          </w:p>
        </w:tc>
        <w:tc>
          <w:tcPr>
            <w:tcW w:type="dxa" w:w="4320"/>
          </w:tcPr>
          <w:p>
            <w:r>
              <w:t>Elena Vasquez-Reyes, Partner, Corporate &amp; Securities</w:t>
            </w:r>
          </w:p>
        </w:tc>
      </w:tr>
      <w:tr>
        <w:tc>
          <w:tcPr>
            <w:tcW w:type="dxa" w:w="4320"/>
          </w:tcPr>
          <w:p>
            <w:r>
              <w:t>Re</w:t>
            </w:r>
          </w:p>
        </w:tc>
        <w:tc>
          <w:tcPr>
            <w:tcW w:type="dxa" w:w="4320"/>
          </w:tcPr>
          <w:p>
            <w:r>
              <w:t>Firm Position on Two Open Estoppel Certificates — Closing Checklist</w:t>
            </w:r>
          </w:p>
        </w:tc>
      </w:tr>
      <w:tr>
        <w:tc>
          <w:tcPr>
            <w:tcW w:type="dxa" w:w="4320"/>
          </w:tcPr>
          <w:p>
            <w:r>
              <w:t>Status</w:t>
            </w:r>
          </w:p>
        </w:tc>
        <w:tc>
          <w:tcPr>
            <w:tcW w:type="dxa" w:w="4320"/>
          </w:tcPr>
          <w:p>
            <w:r>
              <w:t>Contingent on Odell/Whitfield Confirmation — Escalation Deadline Lapsed</w:t>
            </w:r>
          </w:p>
        </w:tc>
      </w:tr>
    </w:tbl>
    <w:p>
      <w:pPr>
        <w:pStyle w:val="Heading2"/>
      </w:pPr>
      <w:r>
        <w:t>I. Purpose and Scope</w:t>
      </w:r>
    </w:p>
    <w:p>
      <w:r>
        <w:t>This memorandum sets forth the firm's position on the two estoppel certificates that remain outstanding on the closing checklist for the above-referenced transaction. It is prepared at Samir's instruction that the closing checklist stands as-is pending receipt of the outstanding items, and is intended to document the firm's analysis and recommended course of action so that the file reflects a contemporaneous record of the basis for proceeding on that footing. This version reflects a full review pass completed prior to circulation, confirming the analysis below against Section 6.11(b) of the credit agreement and against the current closing checklist status.</w:t>
      </w:r>
    </w:p>
    <w:p>
      <w:r>
        <w:t>As reported to Mira, the closing checklist currently reflects one good standing certificate and two estoppel certificates still outstanding; all other checklist items have been confirmed in. Both outstanding estoppels are pending response from Odell/Whitfield. As most recently confirmed to Mira, this status is unchanged, and the Odell/Whitfield split remains unresolved notwithstanding Quentin Sarr's repeated callback attempts, neither of which has yet been returned.</w:t>
      </w:r>
    </w:p>
    <w:p>
      <w:pPr>
        <w:pStyle w:val="Heading2"/>
      </w:pPr>
      <w:r>
        <w:t>II. Checklist Status as of This Memorandum</w:t>
      </w:r>
    </w:p>
    <w:tbl>
      <w:tblPr>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Status</w:t>
            </w:r>
          </w:p>
        </w:tc>
        <w:tc>
          <w:tcPr>
            <w:tcW w:type="dxa" w:w="2160"/>
          </w:tcPr>
          <w:p>
            <w:r>
              <w:t>Counterparty/Source</w:t>
            </w:r>
          </w:p>
        </w:tc>
        <w:tc>
          <w:tcPr>
            <w:tcW w:type="dxa" w:w="2160"/>
          </w:tcPr>
          <w:p>
            <w:r>
              <w:t>Notes</w:t>
            </w:r>
          </w:p>
        </w:tc>
      </w:tr>
      <w:tr>
        <w:tc>
          <w:tcPr>
            <w:tcW w:type="dxa" w:w="2160"/>
          </w:tcPr>
          <w:p>
            <w:r>
              <w:t>Good standing certificate</w:t>
            </w:r>
          </w:p>
        </w:tc>
        <w:tc>
          <w:tcPr>
            <w:tcW w:type="dxa" w:w="2160"/>
          </w:tcPr>
          <w:p>
            <w:r>
              <w:t>Outstanding (1)</w:t>
            </w:r>
          </w:p>
        </w:tc>
        <w:tc>
          <w:tcPr>
            <w:tcW w:type="dxa" w:w="2160"/>
          </w:tcPr>
          <w:p>
            <w:r>
              <w:t>Secretary of State</w:t>
            </w:r>
          </w:p>
        </w:tc>
        <w:tc>
          <w:tcPr>
            <w:tcW w:type="dxa" w:w="2160"/>
          </w:tcPr>
          <w:p>
            <w:r>
              <w:t>No substantive issue identified; ministerial delay only</w:t>
            </w:r>
          </w:p>
        </w:tc>
      </w:tr>
      <w:tr>
        <w:tc>
          <w:tcPr>
            <w:tcW w:type="dxa" w:w="2160"/>
          </w:tcPr>
          <w:p>
            <w:r>
              <w:t>Estoppel certificate — Item A</w:t>
            </w:r>
          </w:p>
        </w:tc>
        <w:tc>
          <w:tcPr>
            <w:tcW w:type="dxa" w:w="2160"/>
          </w:tcPr>
          <w:p>
            <w:r>
              <w:t>Outstanding</w:t>
            </w:r>
          </w:p>
        </w:tc>
        <w:tc>
          <w:tcPr>
            <w:tcW w:type="dxa" w:w="2160"/>
          </w:tcPr>
          <w:p>
            <w:r>
              <w:t>Odell/Whitfield (counterparty confirmation pending)</w:t>
            </w:r>
          </w:p>
        </w:tc>
        <w:tc>
          <w:tcPr>
            <w:tcW w:type="dxa" w:w="2160"/>
          </w:tcPr>
          <w:p>
            <w:r>
              <w:t>See Section III</w:t>
            </w:r>
          </w:p>
        </w:tc>
      </w:tr>
      <w:tr>
        <w:tc>
          <w:tcPr>
            <w:tcW w:type="dxa" w:w="2160"/>
          </w:tcPr>
          <w:p>
            <w:r>
              <w:t>Estoppel certificate — Item B</w:t>
            </w:r>
          </w:p>
        </w:tc>
        <w:tc>
          <w:tcPr>
            <w:tcW w:type="dxa" w:w="2160"/>
          </w:tcPr>
          <w:p>
            <w:r>
              <w:t>Outstanding</w:t>
            </w:r>
          </w:p>
        </w:tc>
        <w:tc>
          <w:tcPr>
            <w:tcW w:type="dxa" w:w="2160"/>
          </w:tcPr>
          <w:p>
            <w:r>
              <w:t>Odell/Whitfield (counterparty confirmation pending)</w:t>
            </w:r>
          </w:p>
        </w:tc>
        <w:tc>
          <w:tcPr>
            <w:tcW w:type="dxa" w:w="2160"/>
          </w:tcPr>
          <w:p>
            <w:r>
              <w:t>See Section III</w:t>
            </w:r>
          </w:p>
        </w:tc>
      </w:tr>
      <w:tr>
        <w:tc>
          <w:tcPr>
            <w:tcW w:type="dxa" w:w="2160"/>
          </w:tcPr>
          <w:p>
            <w:r>
              <w:t>All remaining checklist items</w:t>
            </w:r>
          </w:p>
        </w:tc>
        <w:tc>
          <w:tcPr>
            <w:tcW w:type="dxa" w:w="2160"/>
          </w:tcPr>
          <w:p>
            <w:r>
              <w:t>Confirmed in</w:t>
            </w:r>
          </w:p>
        </w:tc>
        <w:tc>
          <w:tcPr>
            <w:tcW w:type="dxa" w:w="2160"/>
          </w:tcPr>
          <w:p>
            <w:r>
              <w:t>Various</w:t>
            </w:r>
          </w:p>
        </w:tc>
        <w:tc>
          <w:tcPr>
            <w:tcW w:type="dxa" w:w="2160"/>
          </w:tcPr>
          <w:p>
            <w:r>
              <w:t>No open issues</w:t>
            </w:r>
          </w:p>
        </w:tc>
      </w:tr>
    </w:tbl>
    <w:p>
      <w:pPr>
        <w:pStyle w:val="Heading2"/>
      </w:pPr>
      <w:r>
        <w:t>III. Analysis of the Two Open Estoppels</w:t>
      </w:r>
    </w:p>
    <w:p>
      <w:r>
        <w:t>Samir has instructed that the closing checklist stands as-is — that is, the checklist is not to be restructured or the two estoppel line items reclassified or removed — pending Odell/Whitfield's confirmation of the ancillary documents and checklist split they have not yet addressed. The firm's position, consistent with that instruction, is as follows.</w:t>
      </w:r>
    </w:p>
    <w:p>
      <w:pPr>
        <w:pStyle w:val="ListNumber"/>
      </w:pPr>
      <w:r>
        <w:t>The two estoppel certificates remain conditions to closing under the checklist as currently constituted. The firm does not recommend waiving either certificate or treating either as satisfied absent actual receipt and review.</w:t>
      </w:r>
    </w:p>
    <w:p>
      <w:pPr>
        <w:pStyle w:val="ListNumber"/>
      </w:pPr>
      <w:r>
        <w:t>Because Odell/Whitfield has not yet responded on the ancillary-documents/checklist split, the firm cannot at this time confirm whether the two outstanding estoppels correspond to distinct obligors or represent overlapping confirmations of the same underlying facts. This distinction affects the scope of closing conditions and should be resolved before the closing set is finalized.</w:t>
      </w:r>
    </w:p>
    <w:p>
      <w:pPr>
        <w:pStyle w:val="ListNumber"/>
      </w:pPr>
      <w:r>
        <w:t>The firm's position on proceeding toward closing is expressly contingent on Odell/Whitfield's confirmation. Until that confirmation is received, the firm treats both estoppels as open items and does not consider the checklist ripe for sign-off, notwithstanding that Samir has directed the checklist stand as-is in its current form.</w:t>
      </w:r>
    </w:p>
    <w:p>
      <w:pPr>
        <w:pStyle w:val="ListNumber"/>
      </w:pPr>
      <w:r>
        <w:t>This estoppel-satisfaction analysis is separate from, and does not bear on, the firm's Section 6.11(b) non-triggering conclusion reached and reaffirmed in the covenant compliance memorandum; the two work streams address distinct closing-checklist and covenant-monitoring questions and should not be conflated when this memorandum is read alongside that one.</w:t>
      </w:r>
    </w:p>
    <w:p>
      <w:pPr>
        <w:pStyle w:val="ListNumber"/>
      </w:pPr>
      <w:r>
        <w:t>This position is consistent with the firm's parallel practice on this engagement of documenting contemporaneous re-assessment of open items as new information becomes available (see the covenant compliance memorandum re-assessment entries, Sections III and IV, reaffirming the Section 6.11(b) conclusion and confirming no formal order, subpoena, or civil investigative demand has been received), and the review-tracker notes flagging thin evidentiary support in related workstream entries. As tightened on review, those notes reflect: BATCH-003's compound conclusion lacks adequate evidentiary support; BATCH-004 and BATCH-008 remain unresolved TBD items, with the 'In Progress' characterization corrected to avoid implying completeness given continued non-response from Odell/Whitfield despite repeated outreach; and BATCH-007's conclusion has been narrowed because the underlying notes do not establish that the gap analysis substantiates any particular finding. All three counsel against treating incomplete confirmations as resolved.</w:t>
      </w:r>
    </w:p>
    <w:p>
      <w:pPr>
        <w:pStyle w:val="Heading2"/>
      </w:pPr>
      <w:r>
        <w:t>IV. Recommended Course of Action</w:t>
      </w:r>
    </w:p>
    <w:p>
      <w:pPr>
        <w:pStyle w:val="ListNumber"/>
      </w:pPr>
      <w:r>
        <w:t>Continue to hold the closing checklist in its current form per Samir's instruction; no restructuring of the two estoppel line items pending Odell/Whitfield's response.</w:t>
      </w:r>
    </w:p>
    <w:p>
      <w:pPr>
        <w:pStyle w:val="ListNumber"/>
      </w:pPr>
      <w:r>
        <w:t>Escalate the outstanding request to Odell/Whitfield with a specific deadline for the ancillary-documents/checklist split and the two estoppel confirmations, given the delay reported to Mira. Note that the end-of-day escalation deadline previously set has now lapsed without resolution; Quentin Sarr has attempted callbacks to Odell/Whitfield without reaching them, and a further escalation deadline should be set and communicated without delay.</w:t>
      </w:r>
    </w:p>
    <w:p>
      <w:pPr>
        <w:pStyle w:val="ListNumber"/>
      </w:pPr>
      <w:r>
        <w:t>Upon receipt of Odell/Whitfield's confirmation, promptly update this memorandum to reflect (a) whether the split resolves to two distinct estoppels or a single confirmation duplicated across two checklist lines, and (b) the firm's final position on satisfaction of the closing condition.</w:t>
      </w:r>
    </w:p>
    <w:p>
      <w:pPr>
        <w:pStyle w:val="ListNumber"/>
      </w:pPr>
      <w:r>
        <w:t>Do not release the closing set or treat the checklist as complete until both estoppels are received and reviewed for conformity to the requirements of the credit agreement, including Section 6.11(b) where applicable, and related ancillary documents.</w:t>
      </w:r>
    </w:p>
    <w:p>
      <w:pPr>
        <w:pStyle w:val="ListNumber"/>
      </w:pPr>
      <w:r>
        <w:t>Maintain the good standing certificate as a separate, non-contingent open item; its outstanding status is administrative and does not bear on the estoppel analysis in Section III.</w:t>
      </w:r>
    </w:p>
    <w:p>
      <w:pPr>
        <w:pStyle w:val="ListNumber"/>
      </w:pPr>
      <w:r>
        <w:t>Confirm with the reviewer of record that BATCH-003, BATCH-004/008, and BATCH-007 sign-off remains withheld pending QC confirmation and Odell/Whitfield's response, consistent with the review tracker as most recently updated.</w:t>
      </w:r>
    </w:p>
    <w:p>
      <w:pPr>
        <w:pStyle w:val="Heading2"/>
      </w:pPr>
      <w:r>
        <w:t>V. Conclusion</w:t>
      </w:r>
    </w:p>
    <w:p>
      <w:r>
        <w:t>The firm's position is that the closing checklist properly stands as-is, with the two estoppel certificates remaining open conditions to closing, and that any further action toward closing on those two items is contingent on Odell/Whitfield's confirmation. This analysis has been reviewed and confirmed against Section 6.11(b) and the current closing checklist status as of this pass. This memorandum will be revised and re-issued upon receipt of Odell/Whitfield's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