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Coastal Meridian Consolidated Industries, Inc.</w:t>
      </w:r>
    </w:p>
    <w:p>
      <w:r>
        <w:t>FROM: Elena Vasquez-Reyes, Partner, Corporate &amp; Securities</w:t>
      </w:r>
    </w:p>
    <w:p>
      <w:r>
        <w:t>RE: Covenant Compliance Review — Second Amended and Restated Credit Agreement, dated as of March 14, 2023, among Coastal Meridian Consolidated Industries, Inc., the Lenders party thereto, and Meridian National Bank, as Administrative Agent (the "Credit Agreement")</w:t>
      </w:r>
    </w:p>
    <w:p>
      <w:pPr>
        <w:pStyle w:val="Heading2"/>
      </w:pPr>
      <w:r>
        <w:t>I. Purpose and Scope</w:t>
      </w:r>
    </w:p>
    <w:p>
      <w:r>
        <w:t>This memorandum sets out my review of Coastal Meridian's compliance with the financial and negative covenants under Article 6 of the Credit Agreement, undertaken in connection with (a) the pending regulatory inquiry (Matter Ref. Coastal Meridian — Regulatory Inquiry) and (b) the Company's anticipated request for a covenant waiver or amendment in the event the regulatory matter results in a material adverse disclosure event under Section 6.11. This review is limited to the covenant provisions identified below and does not constitute a full diligence review of the Credit Agreement or related loan documents. This version updates and supersedes the prior version solely as to the re-assessment described in Section III below; the financial covenant conclusions in Section II are unchanged pending the next compliance certificate.</w:t>
      </w:r>
    </w:p>
    <w:p>
      <w:pPr>
        <w:pStyle w:val="Heading2"/>
      </w:pPr>
      <w:r>
        <w:t>II. Covenants Reviewed</w:t>
      </w:r>
    </w:p>
    <w:tbl>
      <w:tblPr>
        <w:tblW w:type="auto" w:w="0"/>
        <w:tblLook w:firstColumn="1" w:firstRow="1" w:lastColumn="0" w:lastRow="0" w:noHBand="0" w:noVBand="1" w:val="04A0"/>
      </w:tblPr>
      <w:tblGrid>
        <w:gridCol w:w="2160"/>
        <w:gridCol w:w="2160"/>
        <w:gridCol w:w="2160"/>
        <w:gridCol w:w="2160"/>
      </w:tblGrid>
      <w:tr>
        <w:tc>
          <w:tcPr>
            <w:tcW w:type="dxa" w:w="2160"/>
          </w:tcPr>
          <w:p>
            <w:r>
              <w:t>Section</w:t>
            </w:r>
          </w:p>
        </w:tc>
        <w:tc>
          <w:tcPr>
            <w:tcW w:type="dxa" w:w="2160"/>
          </w:tcPr>
          <w:p>
            <w:r>
              <w:t>Covenant</w:t>
            </w:r>
          </w:p>
        </w:tc>
        <w:tc>
          <w:tcPr>
            <w:tcW w:type="dxa" w:w="2160"/>
          </w:tcPr>
          <w:p>
            <w:r>
              <w:t>Requirement</w:t>
            </w:r>
          </w:p>
        </w:tc>
        <w:tc>
          <w:tcPr>
            <w:tcW w:type="dxa" w:w="2160"/>
          </w:tcPr>
          <w:p>
            <w:r>
              <w:t>Status</w:t>
            </w:r>
          </w:p>
        </w:tc>
      </w:tr>
      <w:tr>
        <w:tc>
          <w:tcPr>
            <w:tcW w:type="dxa" w:w="2160"/>
          </w:tcPr>
          <w:p>
            <w:r>
              <w:t>6.09(a)</w:t>
            </w:r>
          </w:p>
        </w:tc>
        <w:tc>
          <w:tcPr>
            <w:tcW w:type="dxa" w:w="2160"/>
          </w:tcPr>
          <w:p>
            <w:r>
              <w:t>Maximum Total Leverage Ratio</w:t>
            </w:r>
          </w:p>
        </w:tc>
        <w:tc>
          <w:tcPr>
            <w:tcW w:type="dxa" w:w="2160"/>
          </w:tcPr>
          <w:p>
            <w:r>
              <w:t>≤ 3.75:1.00, tested quarterly</w:t>
            </w:r>
          </w:p>
        </w:tc>
        <w:tc>
          <w:tcPr>
            <w:tcW w:type="dxa" w:w="2160"/>
          </w:tcPr>
          <w:p>
            <w:r>
              <w:t>In compliance — 3.41:1.00 as of most recent test date</w:t>
            </w:r>
          </w:p>
        </w:tc>
      </w:tr>
      <w:tr>
        <w:tc>
          <w:tcPr>
            <w:tcW w:type="dxa" w:w="2160"/>
          </w:tcPr>
          <w:p>
            <w:r>
              <w:t>6.09(b)</w:t>
            </w:r>
          </w:p>
        </w:tc>
        <w:tc>
          <w:tcPr>
            <w:tcW w:type="dxa" w:w="2160"/>
          </w:tcPr>
          <w:p>
            <w:r>
              <w:t>Minimum Fixed Charge Coverage Ratio</w:t>
            </w:r>
          </w:p>
        </w:tc>
        <w:tc>
          <w:tcPr>
            <w:tcW w:type="dxa" w:w="2160"/>
          </w:tcPr>
          <w:p>
            <w:r>
              <w:t>≥ 1.25:1.00</w:t>
            </w:r>
          </w:p>
        </w:tc>
        <w:tc>
          <w:tcPr>
            <w:tcW w:type="dxa" w:w="2160"/>
          </w:tcPr>
          <w:p>
            <w:r>
              <w:t>In compliance — 1.38:1.00</w:t>
            </w:r>
          </w:p>
        </w:tc>
      </w:tr>
      <w:tr>
        <w:tc>
          <w:tcPr>
            <w:tcW w:type="dxa" w:w="2160"/>
          </w:tcPr>
          <w:p>
            <w:r>
              <w:t>6.10</w:t>
            </w:r>
          </w:p>
        </w:tc>
        <w:tc>
          <w:tcPr>
            <w:tcW w:type="dxa" w:w="2160"/>
          </w:tcPr>
          <w:p>
            <w:r>
              <w:t>Minimum Liquidity</w:t>
            </w:r>
          </w:p>
        </w:tc>
        <w:tc>
          <w:tcPr>
            <w:tcW w:type="dxa" w:w="2160"/>
          </w:tcPr>
          <w:p>
            <w:r>
              <w:t>≥ $15,000,000 unrestricted cash plus revolver availability</w:t>
            </w:r>
          </w:p>
        </w:tc>
        <w:tc>
          <w:tcPr>
            <w:tcW w:type="dxa" w:w="2160"/>
          </w:tcPr>
          <w:p>
            <w:r>
              <w:t>In compliance — $22,600,000</w:t>
            </w:r>
          </w:p>
        </w:tc>
      </w:tr>
      <w:tr>
        <w:tc>
          <w:tcPr>
            <w:tcW w:type="dxa" w:w="2160"/>
          </w:tcPr>
          <w:p>
            <w:r>
              <w:t>6.11</w:t>
            </w:r>
          </w:p>
        </w:tc>
        <w:tc>
          <w:tcPr>
            <w:tcW w:type="dxa" w:w="2160"/>
          </w:tcPr>
          <w:p>
            <w:r>
              <w:t>No Material Adverse Effect; disclosure of pending proceedings</w:t>
            </w:r>
          </w:p>
        </w:tc>
        <w:tc>
          <w:tcPr>
            <w:tcW w:type="dxa" w:w="2160"/>
          </w:tcPr>
          <w:p>
            <w:r>
              <w:t>Notice required within 5 business days of any proceeding that could reasonably be expected to result in liability exceeding $5,000,000</w:t>
            </w:r>
          </w:p>
        </w:tc>
        <w:tc>
          <w:tcPr>
            <w:tcW w:type="dxa" w:w="2160"/>
          </w:tcPr>
          <w:p>
            <w:r>
              <w:t>Requires assessment — see Section III below; re-run as of the date of this memorandum, no change in conclusion</w:t>
            </w:r>
          </w:p>
        </w:tc>
      </w:tr>
      <w:tr>
        <w:tc>
          <w:tcPr>
            <w:tcW w:type="dxa" w:w="2160"/>
          </w:tcPr>
          <w:p>
            <w:r>
              <w:t>6.13</w:t>
            </w:r>
          </w:p>
        </w:tc>
        <w:tc>
          <w:tcPr>
            <w:tcW w:type="dxa" w:w="2160"/>
          </w:tcPr>
          <w:p>
            <w:r>
              <w:t>Limitation on Liens</w:t>
            </w:r>
          </w:p>
        </w:tc>
        <w:tc>
          <w:tcPr>
            <w:tcW w:type="dxa" w:w="2160"/>
          </w:tcPr>
          <w:p>
            <w:r>
              <w:t>No liens other than Permitted Liens under Schedule 6.13</w:t>
            </w:r>
          </w:p>
        </w:tc>
        <w:tc>
          <w:tcPr>
            <w:tcW w:type="dxa" w:w="2160"/>
          </w:tcPr>
          <w:p>
            <w:r>
              <w:t>In compliance — no new liens identified</w:t>
            </w:r>
          </w:p>
        </w:tc>
      </w:tr>
      <w:tr>
        <w:tc>
          <w:tcPr>
            <w:tcW w:type="dxa" w:w="2160"/>
          </w:tcPr>
          <w:p>
            <w:r>
              <w:t>6.14</w:t>
            </w:r>
          </w:p>
        </w:tc>
        <w:tc>
          <w:tcPr>
            <w:tcW w:type="dxa" w:w="2160"/>
          </w:tcPr>
          <w:p>
            <w:r>
              <w:t>Limitation on Indebtedness</w:t>
            </w:r>
          </w:p>
        </w:tc>
        <w:tc>
          <w:tcPr>
            <w:tcW w:type="dxa" w:w="2160"/>
          </w:tcPr>
          <w:p>
            <w:r>
              <w:t>No additional indebtedness exceeding $2,000,000 in aggregate without Agent consent</w:t>
            </w:r>
          </w:p>
        </w:tc>
        <w:tc>
          <w:tcPr>
            <w:tcW w:type="dxa" w:w="2160"/>
          </w:tcPr>
          <w:p>
            <w:r>
              <w:t>In compliance — no incremental debt incurred since last test date</w:t>
            </w:r>
          </w:p>
        </w:tc>
      </w:tr>
    </w:tbl>
    <w:p>
      <w:pPr>
        <w:pStyle w:val="Heading2"/>
      </w:pPr>
      <w:r>
        <w:t>III. Section 6.11 Notice Obligation — Regulatory Inquiry</w:t>
      </w:r>
    </w:p>
    <w:p>
      <w:r>
        <w:t>The Company is currently subject to a regulatory inquiry (the substance of which is addressed separately in the file for that matter). Section 6.11(b) requires written notice to the Administrative Agent within five business days of the Company's becoming aware of any 'Proceeding' that could reasonably be expected to result in liability, fines, or remedial costs exceeding $5,000,000, or that could reasonably be expected to result in a Material Adverse Effect as defined in Section 1.01.</w:t>
      </w:r>
    </w:p>
    <w:p>
      <w:r>
        <w:t>As of the date of this memorandum, the regulatory inquiry remains at an investigative stage; no claim, order, or demand for monetary relief has been asserted against the Company. On the present record, I do not believe the inquiry has crystallized into a 'Proceeding' triggering the Section 6.11(b) notice obligation. This conclusion should be revisited promptly upon (i) receipt of any subpoena, formal order of investigation, or civil investigative demand naming the Company as a target rather than a witness, or (ii) any indication from regulatory counsel that a monetary penalty or consent order is under discussion. I recommend the engagement team calendar a re-assessment upon the next substantive communication from the regulator, and that we not wait for a formal charging document before revisiting the analysis, given the five-business-day notice window runs from awareness, not from formal service.</w:t>
      </w:r>
    </w:p>
    <w:p>
      <w:r>
        <w:t>Re-assessment update: I have re-run this analysis as of the date of this memorandum in accordance with the recommendation set out below. No subpoena, formal order of investigation, or civil investigative demand naming the Company as a target has been received, and regulatory counsel has not indicated that a monetary penalty or consent order is under discussion. Accordingly, the conclusion above is unchanged and the Section 6.11(b) notice obligation has not been triggered as of this date. This determination is documented contemporaneously in this file rather than reconstructed later, consistent with Section IV, item 2, of the prior version of this memorandum.</w:t>
      </w:r>
    </w:p>
    <w:p>
      <w:pPr>
        <w:pStyle w:val="Heading2"/>
      </w:pPr>
      <w:r>
        <w:t>IV. Recommendations</w:t>
      </w:r>
    </w:p>
    <w:p>
      <w:pPr>
        <w:pStyle w:val="ListNumber"/>
      </w:pPr>
      <w:r>
        <w:t>No covenant default currently exists under Article 6 of the Credit Agreement based on the financial statements and compliance certificate for the most recently completed fiscal quarter.</w:t>
      </w:r>
    </w:p>
    <w:p>
      <w:pPr>
        <w:pStyle w:val="ListNumber"/>
      </w:pPr>
      <w:r>
        <w:t>The Section 6.11(b) notice determination should continue to be re-run immediately upon any material development in the regulatory inquiry, and documented contemporaneously in this file rather than reconstructed later. This re-assessment was last performed as of the date of this memorandum, with no change in conclusion.</w:t>
      </w:r>
    </w:p>
    <w:p>
      <w:pPr>
        <w:pStyle w:val="ListNumber"/>
      </w:pPr>
      <w:r>
        <w:t>Given the proximity of the regulatory inquiry to the financial covenant tests, I recommend the Company's CFO be advised to flag any request from the Agent for updated financial information promptly to this office, so that any Section 6.11 analysis and any related compliance certificate are prepared on a consistent record.</w:t>
      </w:r>
    </w:p>
    <w:p>
      <w:pPr>
        <w:pStyle w:val="ListNumber"/>
      </w:pPr>
      <w:r>
        <w:t>If the regulatory matter progresses to a stage implicating Section 6.11, we should consider, in advance, whether a proactive waiver request to the Agent is preferable to a notice-only filing, and should discuss that sequencing with the Company before either becomes necessary.</w:t>
      </w:r>
    </w:p>
    <w:p>
      <w:r>
        <w:t>I will circulate an updated version of this memorandum upon the earlier of (a) the next quarterly compliance certificate delivery date, or (b) any material development in the regulatory inquiry bearing on Section 6.11.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