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Coastal Meridian Trademark Opposition — Second Market</w:t>
      </w:r>
    </w:p>
    <w:p>
      <w:pPr>
        <w:pStyle w:val="Heading2"/>
      </w:pPr>
      <w:r>
        <w:t>Merits and Sequencing Assessment</w:t>
      </w:r>
    </w:p>
    <w:p>
      <w:r>
        <w:t>This memorandum addresses the merits and sequencing of the trademark opposition proceeding as it bears on Coastal Meridian in the second market. It parallels, in structure and analytic method, the now-finalized memorandum concerning Yuki Tanabe and the first-market opposition. Where the underlying legal questions overlap between the two markets, this memorandum adopts the first-market memorandum's conclusions by reference rather than re-deriving them; where the second market presents distinct facts, the analysis below departs from that template and says so.</w:t>
      </w:r>
    </w:p>
    <w:p>
      <w:pPr>
        <w:pStyle w:val="Heading2"/>
      </w:pPr>
      <w:r>
        <w:t>1. Posture and Scope</w:t>
      </w:r>
    </w:p>
    <w:p>
      <w:r>
        <w:t>The exception list is closed as to Kowalski, Reyes-Fitch, and Merton. No further review is contemplated for those three matters absent a change in circumstance. Coastal Meridian and Ravenna remain outside the exception list on the agreed condition that either be pulled back into the active cycle if it responds before Ulrich files. That condition governs the sequencing analysis in Section 3 below and should not be read as a decision that Coastal Meridian's opposition lacks merit; it is a scheduling contingency, not a merits determination. Per Bennett Ashworth's check-in with Ulrich Bergmann at today's close, Ravenna remains dark on Coastal Meridian, with nothing live from Coastal Meridian itself; the contingency accordingly remains untriggered and the exception-list arrangement stands unchanged as of this writing.</w:t>
      </w:r>
    </w:p>
    <w:p>
      <w:pPr>
        <w:pStyle w:val="Heading2"/>
      </w:pPr>
      <w:r>
        <w:t>2. Merits Analysis</w:t>
      </w:r>
    </w:p>
    <w:p>
      <w:r>
        <w:t>The merits analysis tracks the framework applied to the Tanabe first-market memorandum: likelihood of confusion as the primary ground, with priority of use and geographic scope of the senior mark as the principal points of factual contest. On the record available, the second-market opposition presents materially the same likelihood-of-confusion posture as the first market — overlapping channels of trade, overlapping relevant purchasing public, and a mark that is phonetically and visually close enough that I am not persuaded a court would find the differences dispositive on a motion. The distinction between the two markets is not one of doctrine but of evidentiary posture: the second market has a shorter period of concurrent use, which affects laches and acquiescence defenses more than it affects the core confusion analysis.</w:t>
      </w:r>
    </w:p>
    <w:p>
      <w:r>
        <w:t>I do not think the shorter concurrent-use period changes the outcome, but it does change how confidently we can say so, and the Recommendation below is qualified accordingly.</w:t>
      </w:r>
    </w:p>
    <w:p>
      <w:pPr>
        <w:pStyle w:val="Heading2"/>
      </w:pPr>
      <w:r>
        <w:t>3. Sequencing Analysis</w:t>
      </w:r>
    </w:p>
    <w:p>
      <w:r>
        <w:t>Sequencing here is the live issue, not the merits. The agreed condition — that Coastal Meridian and Ravenna re-enter the active cycle if either responds before Ulrich files — means the second-market opposition's procedural posture is contingent on a fact not yet known: whether Coastal Meridian responds before the Ulrich filing. As of this update, that fact remains unknown in the relevant sense: per Bennett Ashworth's most recent exchange with Ulrich Bergmann, Ravenna is still dark on Coastal Meridian and nothing is live from Coastal Meridian itself, so the Ulrich filing has not yet been triggered by an intervening response. Two branches follow.</w:t>
      </w:r>
    </w:p>
    <w:p>
      <w:pPr>
        <w:pStyle w:val="ListNumber"/>
      </w:pPr>
      <w:r>
        <w:t>If Coastal Meridian responds before Ulrich files, the matter re-enters the active cycle on the same footing as Kowalski, Reyes-Fitch, and Merton were before they closed out, and should be scheduled and staffed accordingly on short notice.</w:t>
      </w:r>
    </w:p>
    <w:p>
      <w:pPr>
        <w:pStyle w:val="ListNumber"/>
      </w:pPr>
      <w:r>
        <w:t>If Coastal Meridian does not respond before Ulrich files, the matter remains outside the active cycle under the current exception-list arrangement, and no further action is required from this office until that condition is triggered or the parties agree otherwise.</w:t>
      </w:r>
    </w:p>
    <w:p>
      <w:r>
        <w:t>This is a narrower and cleaner sequencing question than the one that faced the first-market matter, where an open evidentiary dependency complicated the timing analysis until it was resolved. No equivalent open item exists here; the sequencing analysis in this memorandum is not provisional and does not depend on the resolution of any pending search or investigation. It does, however, depend on a fact outside this office's control, and that fact — silence from Ravenna and Coastal Meridian alike — has not changed as of today's check-in between Bennett Ashworth and Ulrich Bergmann.</w:t>
      </w:r>
    </w:p>
    <w:p>
      <w:pPr>
        <w:pStyle w:val="Heading2"/>
      </w:pPr>
      <w:r>
        <w:t>4. Recommended Priority Read</w:t>
      </w:r>
    </w:p>
    <w:p>
      <w:r>
        <w:t>Treat the second-market opposition as merits-ready and procedurally contingent rather than merits-uncertain. The underlying confusion analysis supports the opposition on materially the same basis as the first-market matter now finalized under the Tanabe memorandum. The only open variable is procedural — whether Coastal Meridian responds before Ulrich files — and that variable is being tracked under the existing exception-list condition, not left to this memorandum to resolve. No further merits work is recommended at this time; sequencing status should be revisited promptly if and when Coastal Meridian or Ravenna responds. As of today's check-in, no response has been received from either party, and the current holding pattern remains appropriate.</w:t>
      </w:r>
    </w:p>
    <w:p>
      <w:pPr>
        <w:pStyle w:val="Heading2"/>
      </w:pPr>
      <w:r>
        <w:t>5. Relationship to the First-Market Memorandum</w:t>
      </w:r>
    </w:p>
    <w:p>
      <w:r>
        <w:t>The first-market memorandum concerning Yuki Tanabe has been finalized: its earlier hedge on the second-market response has been removed, its Section 3-equivalent sequencing analysis is no longer provisional, and its recommended priority read now reflects a completed analysis. This memorandum is drafted to be read alongside that finalized document, not as a substitute for it. Nothing in this memorandum should be understood to reopen any portion of the first-market memorandum; conversely, nothing in the first-market memorandum's finalization should be read as resolving the second-market sequencing contingency addressed in Section 3 above, which remains open on its own terms pending the Coastal Meridian/Ravenna response or the Ulrich filing.</w:t>
      </w:r>
    </w:p>
    <w:p>
      <w:pPr>
        <w:pStyle w:val="Heading2"/>
      </w:pPr>
      <w:r>
        <w:t>Status</w:t>
      </w:r>
    </w:p>
    <w:p>
      <w:r>
        <w:t>This memorandum reflects a complete merits analysis and a sequencing analysis that is contingent, by design, on facts outside this office's control rather than on any unresolved internal open item. No open items remain pending as to the analysis itself. Per Bennett Ashworth's check-in with Ulrich Bergmann, Ravenna remains dark on Coastal Meridian and Coastal Meridian has not responded; the contingency in Section 3 is accordingly unresolved but unchanged, and this office will monitor rather than act pending a response from either party or the Ulrich filing. This status update is limited to the Coastal Meridian/second-market matter addressed above and does not bear on any other item raised separately at today's check-in. Reviewer sign-off: Cecile Marchand.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