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Memorandum</w:t>
      </w:r>
    </w:p>
    <w:p>
      <w:r>
        <w:t>Re: Cotswold Mutual v. Aldworth — Standard of Care and Causation Defenses on Appeal</w:t>
      </w:r>
    </w:p>
    <w:p>
      <w:r>
        <w:t>From: Lucien Abara, Senior Associate, Litigation</w:t>
      </w:r>
    </w:p>
    <w:p>
      <w:r>
        <w:t>Status: Draft, current as of tonight's revision. Record-citation verification in Section IV is now complete; circulated for continued cite-checking on Section III and awaiting Cotswold Mutual committee feedback.</w:t>
      </w:r>
    </w:p>
    <w:p>
      <w:pPr>
        <w:pStyle w:val="Heading2"/>
      </w:pPr>
      <w:r>
        <w:t>I. Conclusion</w:t>
      </w:r>
    </w:p>
    <w:p>
      <w:r>
        <w:t>The better view is that Aldworth's standard-of-care defense survives appellate scrutiny under the jurisdiction's deferential abuse-of-discretion standard for evidentiary rulings on expert qualification, but that the causation defense presents the more genuine appellate exposure. The trial record, now that the exhibit and witness list rebuild has been completed and reconciled against the deposition-testimony citations in Section IV, supports affirmance on the standard-of-care holding. The causation issue turns on whether the trial court's 'but-for' instruction was harmless error, and the authority is closer than the standard-of-care question. We recommend briefing both issues but concentrating argument resources on causation.</w:t>
      </w:r>
    </w:p>
    <w:p>
      <w:pPr>
        <w:pStyle w:val="Heading2"/>
      </w:pPr>
      <w:r>
        <w:t>II. Question Presented</w:t>
      </w:r>
    </w:p>
    <w:p>
      <w:pPr>
        <w:pStyle w:val="ListNumber"/>
      </w:pPr>
      <w:r>
        <w:t>Whether the trial court abused its discretion in admitting Aldworth's standard-of-care expert testimony over Cotswold Mutual's objection to qualification.</w:t>
      </w:r>
    </w:p>
    <w:p>
      <w:pPr>
        <w:pStyle w:val="ListNumber"/>
      </w:pPr>
      <w:r>
        <w:t>Whether the trial court's causation instruction, permitting a 'substantial factor' finding in lieu of strict but-for causation, constitutes reversible error on this record.</w:t>
      </w:r>
    </w:p>
    <w:p>
      <w:pPr>
        <w:pStyle w:val="Heading2"/>
      </w:pPr>
      <w:r>
        <w:t>III. Standard of Care Authority</w:t>
      </w:r>
    </w:p>
    <w:p>
      <w:r>
        <w:t>The standard-of-care authority pull has been corrected to align with the January cite-check status previously flagged as inconsistent. That correction has been reconciled against the cite-check record following review with Cecile and Rosalie, and the section now reflects consistent January-dated citations throughout. The controlling line of authority holds that expert qualification on professional standard of care is reviewed for abuse of discretion, and that a trial court's admission of qualified expert testimony will not be disturbed absent a showing that the expert lacked any foundation in the relevant specialty. This section remains subject to Cotswold Mutual committee feedback before it can be treated as final.</w:t>
      </w:r>
    </w:p>
    <w:p>
      <w:pPr>
        <w:pStyle w:val="Heading2"/>
      </w:pPr>
      <w:r>
        <w:t>IV. Causation — Record Citation Status</w:t>
      </w:r>
    </w:p>
    <w:p>
      <w:r>
        <w:t>The exhibit and witness list rebuild is now complete, and the deposition-testimony citations in this section have been cross-checked against the rebuilt list. The timeline point previously associated with a prospective Ex. 17 was in fact rebuilt from the existing declarations rather than from a separate custodian declaration. Accordingly, there is no standalone Ex. 17 exhibit entry; the citation folds into the existing declaration entries and is cited as such throughout this section. With the rebuild complete, the causation analysis in this section is fully supported by verified record citations and ready for substantive review.</w:t>
      </w:r>
    </w:p>
    <w:p>
      <w:pPr>
        <w:pStyle w:val="Heading2"/>
      </w:pPr>
      <w:r>
        <w:t>V. Remedies Survey</w:t>
      </w:r>
    </w:p>
    <w:p>
      <w:r>
        <w:t>The remedies survey has been expanded to address the range of relief available depending on the disposition of the causation issue. If the causation instruction is upheld, damages remain bounded by the jury's substantial-factor finding. If the instruction is found erroneous but harmless, the remedy is affirmance without remand. If found reversible, the likely remedy is a new trial limited to causation and damages, not liability generally, given that the standard-of-care finding is analytically severable on this record.</w:t>
      </w:r>
    </w:p>
    <w:p>
      <w:pPr>
        <w:pStyle w:val="Heading2"/>
      </w:pPr>
      <w:r>
        <w:t>VI. Open Items</w:t>
      </w:r>
    </w:p>
    <w:p>
      <w:pPr>
        <w:pStyle w:val="ListBullet"/>
      </w:pPr>
      <w:r>
        <w:t>Cotswold Mutual committee feedback on the draft standard-of-care section remains outstanding.</w:t>
      </w:r>
    </w:p>
    <w:p>
      <w:pPr>
        <w:pStyle w:val="ListBullet"/>
      </w:pPr>
      <w:r>
        <w:t>Exhibit and witness list rebuild is complete; deposition-testimony citations in Section IV have been fully verified against the rebuilt list.</w:t>
      </w:r>
    </w:p>
    <w:p>
      <w:pPr>
        <w:pStyle w:val="ListBullet"/>
      </w:pPr>
      <w:r>
        <w:t>Ex. 17 resolution has been confirmed and closed out: no separate exhibit entry required; folded into existing declaration citations.</w:t>
      </w:r>
    </w:p>
    <w:p>
      <w:pPr>
        <w:pStyle w:val="ListBullet"/>
      </w:pPr>
      <w:r>
        <w:t>January-dated standard-of-care authority figures have been corrected and reconciled with the cite-check record.</w:t>
      </w:r>
    </w:p>
    <w:p>
      <w:pPr>
        <w:pStyle w:val="Heading2"/>
      </w:pPr>
      <w:r>
        <w:t>VII. Next Steps</w:t>
      </w:r>
    </w:p>
    <w:p>
      <w:pPr>
        <w:pStyle w:val="ListNumber"/>
      </w:pPr>
      <w:r>
        <w:t>Follow up on the Cotswold Mutual committee's outstanding feedback before finalizing Section III.</w:t>
      </w:r>
    </w:p>
    <w:p>
      <w:pPr>
        <w:pStyle w:val="ListNumber"/>
      </w:pPr>
      <w:r>
        <w:t>Confirm no residual inconsistency remains elsewhere in the file following the standard-of-care correction.</w:t>
      </w:r>
    </w:p>
    <w:p>
      <w:pPr>
        <w:pStyle w:val="ListNumber"/>
      </w:pPr>
      <w:r>
        <w:t>Incorporate the completed Section IV citation verification into the appellate brief outline.</w:t>
      </w:r>
    </w:p>
    <w:p>
      <w:pPr>
        <w:pStyle w:val="ListNumber"/>
      </w:pPr>
      <w:r>
        <w:t>Circulate revised draft once committee feedback on Section III is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