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Coverage Opinion — Brackley Claim</w:t>
      </w:r>
    </w:p>
    <w:p>
      <w:r>
        <w:t>This memorandum sets forth our analysis of coverage under the commercial general liability policy issued by Cotswold Mutual Insurance Company ("Cotswold") with respect to the claim asserted by Brackley Industries against the named insured (the "Brackley Claim"). This opinion is provided at the request of Cotswold's claims department for purposes of evaluating coverage position, reservation of rights, and potential declaratory relief. It is subject to the qualifications set forth in Section VIII below, and should not be relied upon by any party other than Cotswold without our prior written consent.</w:t>
      </w:r>
    </w:p>
    <w:p>
      <w:pPr>
        <w:pStyle w:val="Heading2"/>
      </w:pPr>
      <w:r>
        <w:t>I. Question Presented</w:t>
      </w:r>
    </w:p>
    <w:p>
      <w:r>
        <w:t>Whether the claims asserted in the underlying complaint filed by Brackley Industries fall within the coverage grant of the Policy, and if so, whether any exclusion — in particular the contractual liability exclusion or the expected/intended injury exclusion — operates to bar or limit coverage.</w:t>
      </w:r>
    </w:p>
    <w:p>
      <w:pPr>
        <w:pStyle w:val="Heading2"/>
      </w:pPr>
      <w:r>
        <w:t>II. Short Answer</w:t>
      </w:r>
    </w:p>
    <w:p>
      <w:r>
        <w:t>In our view, the underlying complaint alleges an "occurrence" causing "property damage" within the meaning of the Policy's coverage grant, such that a duty to defend is triggered under the (well-established, and here undisputed) principle that the duty to defend is measured against the allegations of the complaint rather than their ultimate merit. The contractual liability exclusion presents a closer question; we conclude it does not clearly apply because the underlying complaint sounds in tort as well as contract, and at least one count would exist independent of any contractual undertaking. The duty to indemnify remains an open question that cannot be resolved on the present record. We recommend that Cotswold defend under a reservation of rights.</w:t>
      </w:r>
    </w:p>
    <w:p>
      <w:pPr>
        <w:pStyle w:val="Heading2"/>
      </w:pPr>
      <w:r>
        <w:t>III. Facts</w:t>
      </w:r>
    </w:p>
    <w:p>
      <w:r>
        <w:t>Cotswold issued a Commercial General Liability policy to the named insured for the relevant policy period. Brackley Industries filed suit alleging that the insured's defective installation work caused water intrusion damage to Brackley's facility, asserting counts for negligence, breach of contract, and breach of express warranty. The complaint seeks damages for repair costs, business interruption, and consequential losses. Cotswold received timely notice and has requested our opinion prior to determining its coverage position.</w:t>
      </w:r>
    </w:p>
    <w:p>
      <w:pPr>
        <w:pStyle w:val="Heading2"/>
      </w:pPr>
      <w:r>
        <w:t>IV. Analysis</w:t>
      </w:r>
    </w:p>
    <w:p>
      <w:pPr>
        <w:pStyle w:val="Heading3"/>
      </w:pPr>
      <w:r>
        <w:t>A. Duty to Defend — The Occurrence and Property Damage Requirements</w:t>
      </w:r>
    </w:p>
    <w:p>
      <w:r>
        <w:t>The duty to defend is broader than the duty to indemnify and is triggered if the underlying complaint alleges facts that could, if proven, fall within the coverage grant. The negligence count alleges an unintended, unexpected event — faulty installation leading to water intrusion — which fits comfortably within the Policy's definition of "occurrence" as an accident, and the resulting damage to Brackley's facility constitutes "property damage." We are not sure the insured's argument that the damage was purely economic loss survives contact with the complaint's own allegations of physical injury to tangible property; the pleading is explicit on that point, and we do not think Cotswold can rely on an economic-loss characterization to avoid the defense obligation at the pleading stage.</w:t>
      </w:r>
    </w:p>
    <w:p>
      <w:pPr>
        <w:pStyle w:val="Heading3"/>
      </w:pPr>
      <w:r>
        <w:t>B. The Contractual Liability Exclusion</w:t>
      </w:r>
    </w:p>
    <w:p>
      <w:r>
        <w:t>The contractual liability exclusion bars coverage for liability the insured assumes under a contract or agreement, subject to the standard exception for liability the insured would have in the absence of the contract. Because the negligence count would impose liability on the insured independent of any contractual undertaking — i.e., a common-law duty of care in performing the installation work exists regardless of the contract's terms — the exclusion does not clearly apply to that count. The breach of contract and breach of warranty counts stand on different footing and may be excluded, but they do not defeat the duty to defend as to the complaint as a whole, given the rule that a single covered claim among several triggers the full defense obligation.</w:t>
      </w:r>
    </w:p>
    <w:p>
      <w:pPr>
        <w:pStyle w:val="Heading3"/>
      </w:pPr>
      <w:r>
        <w:t>C. The Expected or Intended Injury Exclusion</w:t>
      </w:r>
    </w:p>
    <w:p>
      <w:r>
        <w:t>Nothing in the underlying complaint or the claims file we have reviewed suggests the insured expected or intended the water intrusion damage. This exclusion, on the present record, does not apply.</w:t>
      </w:r>
    </w:p>
    <w:p>
      <w:pPr>
        <w:pStyle w:val="Heading3"/>
      </w:pPr>
      <w:r>
        <w:t>D. Duty to Indemnify</w:t>
      </w:r>
    </w:p>
    <w:p>
      <w:r>
        <w:t>The duty to indemnify turns on facts ultimately proven rather than facts alleged, and cannot be determined at this stage. If the trier of fact finds liability solely on the contract and warranty counts, indemnity may be barred by the contractual liability exclusion; if liability rests in whole or in part on negligence independent of the contract, indemnity should follow. We recommend revisiting this question as the litigation develops, and in any event before any settlement is funded.</w:t>
      </w:r>
    </w:p>
    <w:p>
      <w:pPr>
        <w:pStyle w:val="Heading2"/>
      </w:pPr>
      <w:r>
        <w:t>V. Recommendation</w:t>
      </w:r>
    </w:p>
    <w:p>
      <w:pPr>
        <w:pStyle w:val="ListNumber"/>
      </w:pPr>
      <w:r>
        <w:t>Cotswold should defend the insured under the Policy.</w:t>
      </w:r>
    </w:p>
    <w:p>
      <w:pPr>
        <w:pStyle w:val="ListNumber"/>
      </w:pPr>
      <w:r>
        <w:t>Cotswold should issue a reservation of rights letter identifying the contractual liability exclusion and reserving the indemnity question pending development of the factual record.</w:t>
      </w:r>
    </w:p>
    <w:p>
      <w:pPr>
        <w:pStyle w:val="ListNumber"/>
      </w:pPr>
      <w:r>
        <w:t>Defense counsel retained for the insured should be instructed to develop the factual distinction between the negligence allegations and the contractual undertakings, as that distinction will be central to any later indemnity determination.</w:t>
      </w:r>
    </w:p>
    <w:p>
      <w:pPr>
        <w:pStyle w:val="ListNumber"/>
      </w:pPr>
      <w:r>
        <w:t>We should revisit this opinion upon the close of fact discovery or upon any settlement demand, whichever occurs first.</w:t>
      </w:r>
    </w:p>
    <w:p>
      <w:pPr>
        <w:pStyle w:val="Heading2"/>
      </w:pPr>
      <w:r>
        <w:t>VI. Liability and Damages Assessment</w:t>
      </w:r>
    </w:p>
    <w:p>
      <w:r>
        <w:t>For purposes of the prep call, our firm-side assessment of exposure on the merits is as follows. On liability, the negligence count presents the insured's greatest exposure: the complaint's allegations of defective installation causing water intrusion are the kind of allegations that, if borne out by the inspection and remediation records, are difficult to defend on the merits, whatever their coverage characterization; we are not sure an argument that the installation met the applicable trade standard survives contact with a physical-intrusion event of this kind absent strong contemporaneous documentation to the contrary. The breach of contract and breach of warranty counts add comparatively little independent exposure beyond the negligence count, since the operative facts largely overlap, but they narrow the insured's room to argue causation was solely attributable to a third party or to ordinary wear.</w:t>
      </w:r>
    </w:p>
    <w:p>
      <w:r>
        <w:t>On damages, the complaint seeks three categories: repair costs, business interruption, and consequential losses. Repair costs are the most readily quantifiable and, on the materials reviewed, present the least room for dispute as to amount, though causation and scope-of-repair-versus-betterment issues remain open. Business interruption and consequential damages are the categories most susceptible to challenge on proof, mitigation, and foreseeability grounds, and we would expect the insured's defense to concentrate there. We have not yet been provided a firm quantification of any of the three categories from Brackley's proof materials and flag that as a gap to close before valuation can be finalized; our range below is accordingly provisional.</w:t>
      </w:r>
    </w:p>
    <w:p>
      <w:pPr>
        <w:pStyle w:val="Heading2"/>
      </w:pPr>
      <w:r>
        <w:t>VII. Settlement Authority Range</w:t>
      </w:r>
    </w:p>
    <w:p>
      <w:r>
        <w:t>Based on the present record, and subject to revision once quantified proof of business interruption and consequential losses is available, we recommend that Cotswold enter the prep call prepared to discuss a settlement authority range bracketing the low end around repair-cost exposure alone and the high end incorporating a discounted allowance for business interruption and consequential losses, reflecting the genuine — but not free of dispute — exposure on the negligence count and the comparatively weaker exposure attributable solely to the contract and warranty counts. We do not think Cotswold should authorize settlement value keyed to the full face amount of consequential damages sought absent further proof, as that request does not, in our view, survive contact with the mitigation and foreseeability defenses available on this record. We recommend the range be treated as provisional and revisited once discovery firms up the damages proof, consistent with our general recommendation in Section V that this opinion be revisited at the close of fact discovery or upon any settlement demand.</w:t>
      </w:r>
    </w:p>
    <w:p>
      <w:pPr>
        <w:pStyle w:val="Heading2"/>
      </w:pPr>
      <w:r>
        <w:t>VIII. Qualifications</w:t>
      </w:r>
    </w:p>
    <w:p>
      <w:r>
        <w:t>This opinion is based solely on the Policy, the underlying complaint, and the claims file materials provided to us as of the date of this memorandum; it does not consider any extrinsic evidence bearing on the insured's intent or conduct, and it is limited to the law of the jurisdiction governing the Policy. This opinion may not be disclosed to the insured, to Brackley Industries, or to any other third party, and may not be filed with or disclosed to any court, without our prior written consent, as doing so could waive privilege and would exceed the scope of the engagement for which this opinion was prepared.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