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Coverage Opinion</w:t>
      </w:r>
    </w:p>
    <w:p>
      <w:r>
        <w:t>Re: Brackley v. Halden Orthopedics; Professional Liability Policy No. CM-PL-2024-1187 issued by Cotswold Mutual Insurance Company to Halden Orthopedics, effective January 1, 2024 to January 1, 2025.</w:t>
      </w:r>
    </w:p>
    <w:p>
      <w:r>
        <w:t>This opinion is furnished at the request of Cotswold Mutual for the purpose of evaluating coverage obligations, if any, arising from the claim asserted by Ms. Elaine Brackley against Halden Orthopedics and Dr. Marco Tessaro. It is intended solely for Cotswold Mutual's internal claims-handling use and is subject to the qualifications set out in Section VI below.</w:t>
      </w:r>
    </w:p>
    <w:p>
      <w:pPr>
        <w:pStyle w:val="Heading2"/>
      </w:pPr>
      <w:r>
        <w:t>I. Question Presented</w:t>
      </w:r>
    </w:p>
    <w:p>
      <w:r>
        <w:t>Whether the professional liability policy affords coverage to Halden Orthopedics and Dr. Tessaro for the claims alleged in the Brackley matter, and if so, whether any policy exclusion, condition, or limitation operates to reduce or bar that coverage.</w:t>
      </w:r>
    </w:p>
    <w:p>
      <w:pPr>
        <w:pStyle w:val="Heading2"/>
      </w:pPr>
      <w:r>
        <w:t>II. Brief Answer</w:t>
      </w:r>
    </w:p>
    <w:p>
      <w:r>
        <w:t>Coverage is very likely afforded for the malpractice claim as pleaded. The allegations sound in negligent performance of professional services, which falls within the policy's grant of coverage for 'medical incidents' arising from the rendering of professional services. I do not see a colorable basis, on the facts as currently developed, for the carrier to deny coverage outright. There is, however, a live question as to the timeliness and completeness of the insured's notice, addressed in Section IV, which I am not prepared to resolve on the present record.</w:t>
      </w:r>
    </w:p>
    <w:p>
      <w:pPr>
        <w:pStyle w:val="Heading2"/>
      </w:pPr>
      <w:r>
        <w:t>III. Relevant Policy Provisions</w:t>
      </w:r>
    </w:p>
    <w:p>
      <w:pPr>
        <w:pStyle w:val="ListNumber"/>
      </w:pPr>
      <w:r>
        <w:t>Insuring Agreement (Section I.A): the Company will pay damages the insured becomes legally obligated to pay because of a medical incident that occurs during the policy period and arises out of the rendering of, or failure to render, professional services.</w:t>
      </w:r>
    </w:p>
    <w:p>
      <w:pPr>
        <w:pStyle w:val="ListNumber"/>
      </w:pPr>
      <w:r>
        <w:t>Definition of Medical Incident (Section IV.C): any act, error, or omission in the furnishing of professional services by the insured or any person for whose acts the insured is legally responsible.</w:t>
      </w:r>
    </w:p>
    <w:p>
      <w:pPr>
        <w:pStyle w:val="ListNumber"/>
      </w:pPr>
      <w:r>
        <w:t>Notice Condition (Section VII.B): the insured shall give written notice to the Company as soon as practicable of any claim made or incident that may reasonably be expected to give rise to a claim.</w:t>
      </w:r>
    </w:p>
    <w:p>
      <w:pPr>
        <w:pStyle w:val="ListNumber"/>
      </w:pPr>
      <w:r>
        <w:t>Cooperation Clause (Section VII.D): the insured shall cooperate with the Company in the investigation, settlement, or defense of any claim or suit.</w:t>
      </w:r>
    </w:p>
    <w:p>
      <w:pPr>
        <w:pStyle w:val="ListNumber"/>
      </w:pPr>
      <w:r>
        <w:t>Exclusion for Criminal or Intentional Acts (Section V.A.3): the policy does not apply to damages arising from any dishonest, fraudulent, criminal, or intentionally wrongful act.</w:t>
      </w:r>
    </w:p>
    <w:p>
      <w:pPr>
        <w:pStyle w:val="Heading2"/>
      </w:pPr>
      <w:r>
        <w:t>IV. Analysis</w:t>
      </w:r>
    </w:p>
    <w:p>
      <w:pPr>
        <w:pStyle w:val="Heading3"/>
      </w:pPr>
      <w:r>
        <w:t>A. The Underlying Allegations Fall Within the Grant of Coverage</w:t>
      </w:r>
    </w:p>
    <w:p>
      <w:r>
        <w:t>Ms. Brackley alleges that Dr. Tessaro negligently performed a lumbar fusion procedure, failed to identify post-operative hardware displacement on follow-up imaging, and delayed referral for corrective surgery, resulting in permanent neurological injury. Each of these allegations describes an act or omission in the rendering of professional services within the meaning of Section IV.C. None of the pleaded conduct, as currently framed, sounds in an intentional or criminal act that would trigger the Section V.A.3 exclusion; the complaint is framed entirely in negligence. I would flag for the file that if discovery surfaces evidence of deliberate falsification of the operative report -- which is not alleged at present -- the analysis would need to be revisited. On the pleadings as they stand, I am not sure the exclusion argument survives contact, and I would not lead with it in any coverage position letter.</w:t>
      </w:r>
    </w:p>
    <w:p>
      <w:pPr>
        <w:pStyle w:val="Heading3"/>
      </w:pPr>
      <w:r>
        <w:t>B. Timing and Content of Notice</w:t>
      </w:r>
    </w:p>
    <w:p>
      <w:r>
        <w:t>The incident giving rise to the claim occurred during the policy period. The insured's notice to Cotswold Mutual, however, followed the patient's initial complaint by approximately eleven weeks, and the notice letter did not include the treating physician's incident report, which was requested separately and produced roughly three weeks later. Section VII.B requires notice 'as soon as practicable,' a standard that does not impose a fixed deadline but does require the insurer to show, if it intends to rely on late notice, that the delay was both unreasonable and prejudicial. On this record I cannot yet say whether the eleven-week interval will support a late-notice defense; the reasonableness of that interval will depend on facts not yet in the file, including when the insured's risk manager was actually informed of the complaint versus when practice counsel escalated it. I recommend the claims team request the insured's internal incident log before any notice-based reservation of rights is finalized.</w:t>
      </w:r>
    </w:p>
    <w:p>
      <w:pPr>
        <w:pStyle w:val="Heading3"/>
      </w:pPr>
      <w:r>
        <w:t>C. Damages Exposure</w:t>
      </w:r>
    </w:p>
    <w:p>
      <w:r>
        <w:t>The complaint seeks compensatory damages for past and future medical expenses, lost earning capacity, and pain and suffering, with no specific demand stated. Given the described injury -- permanent lower-extremity neurological deficit following revision surgery -- exposure at the higher end of the policy's per-claim limit is plausible if liability is established. This bears on reserve-setting but does not affect the coverage analysis.</w:t>
      </w:r>
    </w:p>
    <w:p>
      <w:pPr>
        <w:pStyle w:val="Heading2"/>
      </w:pPr>
      <w:r>
        <w:t>V. Conclusion and Recommendation</w:t>
      </w:r>
    </w:p>
    <w:p>
      <w:pPr>
        <w:pStyle w:val="ListNumber"/>
      </w:pPr>
      <w:r>
        <w:t>Coverage should be confirmed for the malpractice allegations as currently pleaded, subject to the reservation described below.</w:t>
      </w:r>
    </w:p>
    <w:p>
      <w:pPr>
        <w:pStyle w:val="ListNumber"/>
      </w:pPr>
      <w:r>
        <w:t>A reservation of rights letter should issue as to the timeliness of notice under Section VII.B, pending receipt of the insured's internal incident log and risk-manager correspondence.</w:t>
      </w:r>
    </w:p>
    <w:p>
      <w:pPr>
        <w:pStyle w:val="ListNumber"/>
      </w:pPr>
      <w:r>
        <w:t>No basis presently exists to invoke the intentional-acts exclusion, and I would advise against asserting it absent a material change in the factual record.</w:t>
      </w:r>
    </w:p>
    <w:p>
      <w:pPr>
        <w:pStyle w:val="ListNumber"/>
      </w:pPr>
      <w:r>
        <w:t>This office should be notified promptly of any amendment to the complaint or new factual development bearing on either the notice question or the character of Dr. Tessaro's conduct.</w:t>
      </w:r>
    </w:p>
    <w:p>
      <w:pPr>
        <w:pStyle w:val="Heading2"/>
      </w:pPr>
      <w:r>
        <w:t>VI. Qualifications</w:t>
      </w:r>
    </w:p>
    <w:p>
      <w:r>
        <w:t>This opinion is based on the policy, the complaint, and the correspondence made available to this office as of the date below, and is necessarily limited by the state of the factual record at this time. It does not constitute a waiver of any right or defense available to Cotswold Mutual under the policy or applicable law, and should be updated as the underlying litigation develops.</w:t>
      </w:r>
    </w:p>
    <w:p>
      <w:r>
        <w:t>Respectfully submitted, Cecile Marchand, Partner,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