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Cotswold Mutual Claims Committee</w:t>
      </w:r>
    </w:p>
    <w:p>
      <w:r>
        <w:t>From: Lucien Abara, Senior Associate, Litigation</w:t>
      </w:r>
    </w:p>
    <w:p>
      <w:r>
        <w:t>Re: Status of Matter and Proposed Next Steps</w:t>
      </w:r>
    </w:p>
    <w:p>
      <w:pPr>
        <w:pStyle w:val="Heading2"/>
      </w:pPr>
      <w:r>
        <w:t>I. Conclusion</w:t>
      </w:r>
    </w:p>
    <w:p>
      <w:r>
        <w:t>The better view is that this matter has stalled not for want of substantive analysis but because one discrete, non-substantive confirmation remains outstanding: confirmation of the governing limitations statute itself, which cannot responsibly be fixed absent an external source. The Section II placeholder/cite-check item previously flagged with Thandiwe has now been confirmed resolved, following discussion at today's 14:00 committee meeting. Committee prep materials remain held back pending resolution of a version discrepancy in the underlying drafting record. Separately, the Ardmore Elevator missed-filing damage assessment, previously held up pending confirmation of ownership, has now been finalized following Thandiwe's confirmation that Samir owns the item. This is closeable within the current week if the steps below are followed.</w:t>
      </w:r>
    </w:p>
    <w:p>
      <w:pPr>
        <w:pStyle w:val="Heading2"/>
      </w:pPr>
      <w:r>
        <w:t>II. Why the Matter Has Stalled</w:t>
      </w:r>
    </w:p>
    <w:p>
      <w:pPr>
        <w:pStyle w:val="ListNumber"/>
      </w:pPr>
      <w:r>
        <w:t>Section II (Statute of Limitations/Discovery Rule) of the master memo has been advanced as a separate work product, but the governing limitations period is still bracketed as '[Statute]/[X]-year' pending confirmation. We have reasoned through the statutory candidates and their implications for the March 2021 accrual date, but have declined to fabricate a citation absent a confirmed source. This is now the sole remaining substantive confirmation needed to close Section II.</w:t>
      </w:r>
    </w:p>
    <w:p>
      <w:pPr>
        <w:pStyle w:val="ListNumber"/>
      </w:pPr>
      <w:r>
        <w:t>The placeholder/cite-check flag previously raised with Thandiwe has been confirmed resolved, as discussed at the 14:00 committee meeting. No further action is required on that item.</w:t>
      </w:r>
    </w:p>
    <w:p>
      <w:pPr>
        <w:pStyle w:val="ListNumber"/>
      </w:pPr>
      <w:r>
        <w:t>A version discrepancy in the committee prep materials was identified by Cecile and Lucien; both agreed the materials should be held back until the discrepancy is resolved, with ownership of the correction finalized at the 11:00 scoping block.</w:t>
      </w:r>
    </w:p>
    <w:p>
      <w:pPr>
        <w:pStyle w:val="ListNumber"/>
      </w:pPr>
      <w:r>
        <w:t>At the 14:00 committee meeting, the three previously open items — the docket entry, the Position Statement sign-off, and Ardmore (confirmed owned by Samir, not Bennett, per Thandiwe's correction) — were confirmed to remain closed.</w:t>
      </w:r>
    </w:p>
    <w:p>
      <w:pPr>
        <w:pStyle w:val="ListNumber"/>
      </w:pPr>
      <w:r>
        <w:t>The Ardmore Elevator missed-filing damage assessment has now been finalized now that the ownership question is resolved; Samir's confirmed ownership removed the last obstacle to completing that work product.</w:t>
      </w:r>
    </w:p>
    <w:p>
      <w:pPr>
        <w:pStyle w:val="ListNumber"/>
      </w:pPr>
      <w:r>
        <w:t>Also discussed at the 14:00 meeting: Hyun-woo's flagged pattern of docket calls ending without assigned action items. The Committee agreed this warrants partner-level attention rather than waiting for a third instance; Lucien will raise it accordingly.</w:t>
      </w:r>
    </w:p>
    <w:p>
      <w:pPr>
        <w:pStyle w:val="ListNumber"/>
      </w:pPr>
      <w:r>
        <w:t>None of the delay traces to the discovery-rule analysis or the record application in Sections I-V, both of which remain unchanged and are not in dispute.</w:t>
      </w:r>
    </w:p>
    <w:p>
      <w:pPr>
        <w:pStyle w:val="Heading2"/>
      </w:pPr>
      <w:r>
        <w:t>III. Proposed Next Steps</w:t>
      </w:r>
    </w:p>
    <w:p>
      <w:pPr>
        <w:pStyle w:val="ListNumber"/>
      </w:pPr>
      <w:r>
        <w:t>Identify and confirm, from an authoritative source, the governing limitations statute and period applicable to the March 2021 accrual date, so the Section II bracket can be closed with a real citation rather than left open.</w:t>
      </w:r>
    </w:p>
    <w:p>
      <w:pPr>
        <w:pStyle w:val="ListNumber"/>
      </w:pPr>
      <w:r>
        <w:t>Resolve the version discrepancy in the committee prep materials at the 11:00 scoping block and assign a single owner of record for that correction going forward.</w:t>
      </w:r>
    </w:p>
    <w:p>
      <w:pPr>
        <w:pStyle w:val="ListNumber"/>
      </w:pPr>
      <w:r>
        <w:t>Once both the statute confirmation and the version discrepancy are resolved, reissue the committee prep materials with Section II finalized and Sections I-V unchanged.</w:t>
      </w:r>
    </w:p>
    <w:p>
      <w:pPr>
        <w:pStyle w:val="ListNumber"/>
      </w:pPr>
      <w:r>
        <w:t>Confirm on the record for tomorrow's docket call that the three previously closed items — the docket entry, the Position Statement sign-off, and Ardmore (owned by Samir) — remain closed, and that no docket entry re-addition is warranted now that the Ardmore missed-filing damage assessment has been finalized.</w:t>
      </w:r>
    </w:p>
    <w:p>
      <w:pPr>
        <w:pStyle w:val="ListNumber"/>
      </w:pPr>
      <w:r>
        <w:t>Ensure partner-level attention is brought to bear on the recurring pattern of docket calls concluding without assigned action items, as raised at the 14:00 committee meeting.</w:t>
      </w:r>
    </w:p>
    <w:p>
      <w:pPr>
        <w:pStyle w:val="Heading2"/>
      </w:pPr>
      <w:r>
        <w:t>IV. Recommendation</w:t>
      </w:r>
    </w:p>
    <w:p>
      <w:r>
        <w:t>The better view is that the Committee should not receive prep materials until the outstanding statute confirmation and the version discrepancy are resolved. Given the narrow scope of what remains outstanding, the completion of the Ardmore Elevator damage assessment, and the progress confirmed at today's 14:00 meeting, Lucien expects the remaining items to be resolved before the next scheduled committee session, and will circulate the finalized Section II draft and corrected prep materials at that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