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MEMORANDUM</w:t>
      </w:r>
    </w:p>
    <w:p>
      <w:r>
        <w:t>PRIVILEGED AND CONFIDENTIAL — ATTORNEY WORK PRODUCT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To:</w:t>
            </w:r>
          </w:p>
        </w:tc>
        <w:tc>
          <w:tcPr>
            <w:tcW w:type="dxa" w:w="4320"/>
          </w:tcPr>
          <w:p>
            <w:r>
              <w:t>File</w:t>
            </w:r>
          </w:p>
        </w:tc>
      </w:tr>
      <w:tr>
        <w:tc>
          <w:tcPr>
            <w:tcW w:type="dxa" w:w="4320"/>
          </w:tcPr>
          <w:p>
            <w:r>
              <w:t>From:</w:t>
            </w:r>
          </w:p>
        </w:tc>
        <w:tc>
          <w:tcPr>
            <w:tcW w:type="dxa" w:w="4320"/>
          </w:tcPr>
          <w:p>
            <w:r>
              <w:t>Cecile Marchand</w:t>
            </w:r>
          </w:p>
        </w:tc>
      </w:tr>
      <w:tr>
        <w:tc>
          <w:tcPr>
            <w:tcW w:type="dxa" w:w="4320"/>
          </w:tcPr>
          <w:p>
            <w:r>
              <w:t>Re:</w:t>
            </w:r>
          </w:p>
        </w:tc>
        <w:tc>
          <w:tcPr>
            <w:tcW w:type="dxa" w:w="4320"/>
          </w:tcPr>
          <w:p>
            <w:r>
              <w:t>Reserve Assessment — Professional Liability Claim (Consolidated)</w:t>
            </w:r>
          </w:p>
        </w:tc>
      </w:tr>
      <w:tr>
        <w:tc>
          <w:tcPr>
            <w:tcW w:type="dxa" w:w="4320"/>
          </w:tcPr>
          <w:p>
            <w:r>
              <w:t>Sources:</w:t>
            </w:r>
          </w:p>
        </w:tc>
        <w:tc>
          <w:tcPr>
            <w:tcW w:type="dxa" w:w="4320"/>
          </w:tcPr>
          <w:p>
            <w:r>
              <w:t>msg-000448, msg-000459, msg-000463, msg-000475, msg-000509, msg-000517, msg-000568</w:t>
            </w:r>
          </w:p>
        </w:tc>
      </w:tr>
    </w:tbl>
    <w:p>
      <w:pPr>
        <w:pStyle w:val="Heading2"/>
      </w:pPr>
      <w:r>
        <w:t>1. Purpose</w:t>
      </w:r>
    </w:p>
    <w:p>
      <w:r>
        <w:t>Desmond Achebe has sent a series of reserve check-in emails on this professional liability claim, several of which duplicate or supersede one another as new information arrived (the reservation of rights letter, the underlying policy language, and the recall/exposure figures). This memorandum consolidates those check-ins into a single, definitive reserve assessment so that the file reflects one current position rather than a chain of overlapping updates. It supersedes, for reserve purposes, the analyses embedded in msg-000448, msg-000459, msg-000463, msg-000475, msg-000509, msg-000517, and msg-000568.</w:t>
      </w:r>
    </w:p>
    <w:p>
      <w:pPr>
        <w:pStyle w:val="Heading2"/>
      </w:pPr>
      <w:r>
        <w:t>2. Chronology of Check-Ins</w:t>
      </w:r>
    </w:p>
    <w:p>
      <w:pPr>
        <w:pStyle w:val="ListNumber"/>
      </w:pPr>
      <w:r>
        <w:t>msg-000448 — Initial reserve check-in from Desmond; requested the reservation of rights letter, the underlying policy language, and the current recall exposure figure before analysis could proceed; committed to end-of-week timing if materials arrived promptly, with a flag if that slipped.</w:t>
      </w:r>
    </w:p>
    <w:p>
      <w:pPr>
        <w:pStyle w:val="ListNumber"/>
      </w:pPr>
      <w:r>
        <w:t>msg-000459 — Follow-up confirming receipt of the reservation of rights letter and the policy; noted the analysis would proceed on a previously discussed exposure range as a provisional placeholder for the worst-case scenario, pending a firmer figure expected from Yuki the following week; end-of-week timeline reiterated.</w:t>
      </w:r>
    </w:p>
    <w:p>
      <w:pPr>
        <w:pStyle w:val="ListNumber"/>
      </w:pPr>
      <w:r>
        <w:t>msg-000463 — Check-in reiterating the end-of-week commitment and flagging that no attachment was yet available because review was still in progress.</w:t>
      </w:r>
    </w:p>
    <w:p>
      <w:pPr>
        <w:pStyle w:val="ListNumber"/>
      </w:pPr>
      <w:r>
        <w:t>msg-000475 — Status update tied to the Coverage Opinion draft (Cotswold Mutual — Brackley Claim) noting the fundamental-policy analysis as the thin point in the coverage position, which bears directly on reserve confidence for that claim.</w:t>
      </w:r>
    </w:p>
    <w:p>
      <w:pPr>
        <w:pStyle w:val="ListNumber"/>
      </w:pPr>
      <w:r>
        <w:t>msg-000509 — Update flagging the thin Ohio-authority gap as a genuine gating issue before the coverage Recommendation, and by extension the reserve figure resting on it, could be treated as final.</w:t>
      </w:r>
    </w:p>
    <w:p>
      <w:pPr>
        <w:pStyle w:val="ListNumber"/>
      </w:pPr>
      <w:r>
        <w:t>msg-000517 — Confirms Yuki's exposure figure has not yet firmed; provisional placeholder range remains in use; billing non-compliance flag acknowledged separately and routed to Bennett.</w:t>
      </w:r>
    </w:p>
    <w:p>
      <w:pPr>
        <w:pStyle w:val="ListNumber"/>
      </w:pPr>
      <w:r>
        <w:t>msg-000568 — Final check-in in the series; reiterates the placeholder basis for the worst-case exposure figure and confirms no change to the provisional reserve pending the Ohio search and Yuki's firmer number.</w:t>
      </w:r>
    </w:p>
    <w:p>
      <w:pPr>
        <w:pStyle w:val="Heading2"/>
      </w:pPr>
      <w:r>
        <w:t>3. Materials Reviewed</w:t>
      </w:r>
    </w:p>
    <w:p>
      <w:pPr>
        <w:pStyle w:val="ListBullet"/>
      </w:pPr>
      <w:r>
        <w:t>Reservation of rights letter (received, confirmed)</w:t>
      </w:r>
    </w:p>
    <w:p>
      <w:pPr>
        <w:pStyle w:val="ListBullet"/>
      </w:pPr>
      <w:r>
        <w:t>Underlying policy language (received, confirmed)</w:t>
      </w:r>
    </w:p>
    <w:p>
      <w:pPr>
        <w:pStyle w:val="ListBullet"/>
      </w:pPr>
      <w:r>
        <w:t>Provisional worst-case exposure range (placeholder, per prior discussion — firm figure outstanding from Yuki)</w:t>
      </w:r>
    </w:p>
    <w:p>
      <w:pPr>
        <w:pStyle w:val="ListBullet"/>
      </w:pPr>
      <w:r>
        <w:t>Coverage Opinion re: Brackley Claim (Draft for Internal Review), including Section VII (Liability and Damages Assessment; Settlement Authority Range)</w:t>
      </w:r>
    </w:p>
    <w:p>
      <w:pPr>
        <w:pStyle w:val="ListBullet"/>
      </w:pPr>
      <w:r>
        <w:t>Reserve Assessment — Tessaro v. Halden Orthopedics (related work product, cross-referenced for methodology consistency)</w:t>
      </w:r>
    </w:p>
    <w:p>
      <w:pPr>
        <w:pStyle w:val="Heading2"/>
      </w:pPr>
      <w:r>
        <w:t>4. Reserve Position — Current Assessment</w:t>
      </w:r>
    </w:p>
    <w:p>
      <w:r>
        <w:t>The reserve is set provisionally at the upper end of the previously discussed exposure range, consistent with a worst-case posture. This is a placeholder pending the outstanding items identified below. I am not comfortable characterizing this figure as final until they close.</w:t>
      </w:r>
    </w:p>
    <w:p>
      <w:pPr>
        <w:pStyle w:val="Heading3"/>
      </w:pPr>
      <w:r>
        <w:t>4.1 Coverage Confidence</w:t>
      </w:r>
    </w:p>
    <w:p>
      <w:r>
        <w:t>The coverage analysis underlying this reserve rests on three grounds. The incorporation-based ground and the procedural-characterization ground are sound; I have signed off on both without qualification. The fundamental-policy ground is materially weaker — the supporting Ohio authority is thin, and on the present record I am not sure this argument survives contact if tested. That gap is a genuine gating issue, not a stylistic quibble, and it is why the Recommendation in the underlying coverage opinion — and the reserve figure that follows from it — carries a tightened, provisional confidence rating rather than a final one.</w:t>
      </w:r>
    </w:p>
    <w:p>
      <w:pPr>
        <w:pStyle w:val="Heading3"/>
      </w:pPr>
      <w:r>
        <w:t>4.2 Exposure Figure</w:t>
      </w:r>
    </w:p>
    <w:p>
      <w:r>
        <w:t>The dollar figure in use is a provisional placeholder drawn from the previously discussed worst-case range, not a confirmed number. A firmer figure is expected from Yuki. The reserve should be revisited immediately on receipt of that figure, whether it moves the number up or down.</w:t>
      </w:r>
    </w:p>
    <w:p>
      <w:pPr>
        <w:pStyle w:val="Heading2"/>
      </w:pPr>
      <w:r>
        <w:t>5. Open Items Gating Finalization</w:t>
      </w:r>
    </w:p>
    <w:p>
      <w:pPr>
        <w:pStyle w:val="ListNumber"/>
      </w:pPr>
      <w:r>
        <w:t>Completion of the targeted Ohio-authority search on the fundamental-policy prong (assigned; tracked as Open Item 1 in the Coverage Opinion review record).</w:t>
      </w:r>
    </w:p>
    <w:p>
      <w:pPr>
        <w:pStyle w:val="ListNumber"/>
      </w:pPr>
      <w:r>
        <w:t>Receipt of Yuki's firmer exposure figure to replace the provisional placeholder range.</w:t>
      </w:r>
    </w:p>
    <w:p>
      <w:r>
        <w:t>The billing non-compliance flag Desmond raised has been resolved; Bennett Ashworth confirmed the associated filing closed on 12/12, matching the good-standing filing closure date confirmed independently by Hyunwoo Bae, Lucien Abara, Rosalie Duchamp, and Thandiwe Mokoena in the same-day exchange. This item never bore on the reserve figure itself and is noted here for file completeness only; it is no longer tracked as an open item.</w:t>
      </w:r>
    </w:p>
    <w:p>
      <w:pPr>
        <w:pStyle w:val="Heading2"/>
      </w:pPr>
      <w:r>
        <w:t>6. Recommendation</w:t>
      </w:r>
    </w:p>
    <w:p>
      <w:r>
        <w:t>Maintain the reserve at the current provisional (worst-case placeholder) level. Do not treat this figure as final, and do not report it externally as final, until Open Items 1 and 2 in Section 5 close. On present information, and subject to that qualification, I do not see a basis to reserve below the current provisional figure; I am less confident about the case for reserving above it, since that would rest more heavily on the fundamental-policy ground I have flagged as thin. This memorandum is the controlling reserve document for this claim going forward; the seven check-in emails identified in Section 2 should be treated as superseded status updates, not independent positions.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