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Review Memorandum</w:t>
      </w:r>
    </w:p>
    <w:p>
      <w:r>
        <w:t>To: Priyanka</w:t>
      </w:r>
    </w:p>
    <w:p>
      <w:r>
        <w:t>From: Klara Bendtsen</w:t>
      </w:r>
    </w:p>
    <w:p>
      <w:r>
        <w:t>Re: Deshmukh Cease-and-Desist / Preservation Letter and Control-Loop Matter — Response Obligations, Assignment-Agreement Coverage Gap, Chain-of-Access Evidentiary Posture, and Injunction Timing/Exposure</w:t>
      </w:r>
    </w:p>
    <w:p>
      <w:r>
        <w:t>This memo delivers the full assessment committed for end of week. It supersedes the interim updates sent over the past several days and consolidates them into a single record. Four items are addressed in turn: (1) our response obligations now that the cease-and-desist/preservation letter has gone out, (2) the coverage gap in the assignment agreement's work-product definition, (3) the evidentiary posture built on the chain-of-access anomaly review, and (4) injunction timing and the exposure attached to moving early versus moving late.</w:t>
      </w:r>
    </w:p>
    <w:p>
      <w:pPr>
        <w:pStyle w:val="Heading2"/>
      </w:pPr>
      <w:r>
        <w:t>1. Response Obligations — Status of the Letter</w:t>
      </w:r>
    </w:p>
    <w:p>
      <w:r>
        <w:t>The cease-and-desist/preservation letter has been sent. It was drafted and held pending confirmation of the calibration notebook marking; that confirmation was received, and the letter went out on that basis. No further drafting action is required on the letter itself.</w:t>
      </w:r>
    </w:p>
    <w:p>
      <w:r>
        <w:t>Two obligations remain live on our side and should be tracked as open items rather than closed ones:</w:t>
      </w:r>
    </w:p>
    <w:p>
      <w:pPr>
        <w:pStyle w:val="ListNumber"/>
      </w:pPr>
      <w:r>
        <w:t>Confirm and document the timing of access revocation on our end. This is the piece that converts our internal security practice into an affirmative reasonable-measures showing — it needs a date, a method (systems, badge, credentials), and a name attached to the action, not a general statement that access was cut off.</w:t>
      </w:r>
    </w:p>
    <w:p>
      <w:pPr>
        <w:pStyle w:val="ListNumber"/>
      </w:pPr>
      <w:r>
        <w:t>Track Deshmukh's response deadline once the letter is deemed received, and calendar the preservation obligation separately from the cease-and-desist demand, since a failure to preserve is actionable on its own terms even if the underlying use dispute is contested.</w:t>
      </w:r>
    </w:p>
    <w:p>
      <w:r>
        <w:t>careful here — if Deshmukh's counsel responds with a denial or a competing narrative before we have the access-revocation timing nailed down and documented, we lose the ability to build that record cleanly after the fact. This should be treated as the most time-sensitive open item now that the letter itself is out.</w:t>
      </w:r>
    </w:p>
    <w:p>
      <w:pPr>
        <w:pStyle w:val="Heading2"/>
      </w:pPr>
      <w:r>
        <w:t>2. Assignment-Agreement Coverage Gap</w:t>
      </w:r>
    </w:p>
    <w:p>
      <w:r>
        <w:t>Direct conclusion: the assignment agreement's definition of covered work product likely does not clearly reach the derivative control-loop algorithms Deshmukh appears to have developed after the original engagement scope. The agreement was drafted around the initial deliverables; it does not contain language plainly extending assignment to independently-developed derivative works building on those deliverables.</w:t>
      </w:r>
    </w:p>
    <w:p>
      <w:r>
        <w:t>This matters because the natural response from opposing counsel will be that Deshmukh was engaged for a defined scope of work, that the derivative algorithms fall outside that defined scope, and that ambiguity in an assignment provision — particularly one the firm drafted — is construed against the drafter. That argument has real force even though Deshmukh was hired specifically to do this kind of work; courts do not treat "hired to do similar work" as a substitute for "assigned this specific output" when the contract language does not say so.</w:t>
      </w:r>
    </w:p>
    <w:p>
      <w:r>
        <w:t>Practical consequence: we should not build the case around the assignment agreement's ownership language. It is a weak leg to stand on and gives opposing counsel an easy opening to contest ownership outright. The case should instead rest on the chain-of-access anomaly review and the trade-secret/reasonable-measures showing, addressed below, which does not depend on resolving who owns what under an ambiguous clause.</w:t>
      </w:r>
    </w:p>
    <w:p>
      <w:r>
        <w:t>This gap should also inform drafting hygiene going forward on unrelated matters: work-product definitions need a forward-looking derivative-works clause, not just a schedule of named deliverables. Flagging for the group's clause bank separately from this memo.</w:t>
      </w:r>
    </w:p>
    <w:p>
      <w:pPr>
        <w:pStyle w:val="Heading2"/>
      </w:pPr>
      <w:r>
        <w:t>3. Chain-of-Access Evidentiary Posture</w:t>
      </w:r>
    </w:p>
    <w:p>
      <w:r>
        <w:t>The access and controls information Priyanka provided supports a reasonable-measures / trade-secret-status showing: access was role-restricted, logged, and (pending the documentation described in Section 1) revoked promptly on separation. That is the foundation for arguing the control-loop algorithms were subject to measures reasonable under the circumstances, which is a required element independent of who technically owns the IP under the assignment agreement.</w:t>
      </w:r>
    </w:p>
    <w:p>
      <w:r>
        <w:t>The chain-of-access anomaly review is the evidentiary centerpiece. It documents irregular access patterns in the period immediately preceding Deshmukh's departure, and it is the piece of the record that ties possession and use to Deshmukh specifically, rather than relying on an inference from his prior role. Given the assignment-agreement gap identified above, this anomaly review — not the ownership clause — should be treated as the primary exhibit if this proceeds to a filing.</w:t>
      </w:r>
    </w:p>
    <w:p>
      <w:r>
        <w:t>Open item: a named owner or firm date on the chain-of-access containment work has not yet been confirmed on Gideon's side. This has been escalated repeatedly (four follow-ups to date) and flagged as the sole blocker ahead of Thursday's review. If no firm answer is received by end of day, the plan is to move to a direct call, and then to Bennett if that does not resolve it. This memo should not be read as resolving that blocker — it remains open and is being tracked outside this document.</w:t>
      </w:r>
    </w:p>
    <w:p>
      <w:r>
        <w:t>Separately, patent filing status is still owed by Gideon and is being chased independently of the docketing sweep; it does not affect the trade-secret analysis above but should be closed out before we finalize any litigation strategy that touches patent rights.</w:t>
      </w:r>
    </w:p>
    <w:p>
      <w:pPr>
        <w:pStyle w:val="Heading2"/>
      </w:pPr>
      <w:r>
        <w:t>4. Injunction Timing and Exposure</w:t>
      </w:r>
    </w:p>
    <w:p>
      <w:r>
        <w:t>Rough timing estimate for a TRO / preliminary injunction: 2-3 days to prepare and file once we decide to move, with a hearing typically scheduled within a few days to two weeks of filing depending on the court's calendar and whether we seek emergency relief on the TRO track first.</w:t>
      </w:r>
    </w:p>
    <w:p>
      <w:r>
        <w:t>The timing decision carries a real tradeoff. Moving quickly, before we have fully confirmed what was actually taken and used, increases the risk of seeking injunctive relief on a record that turns out to be thinner than we represented to the court — which exposes the firm and the client to a wrongful-injunction claim and potential bond forfeiture if the injunction is later found improvidently granted. Moving too slowly risks continued use or disclosure in the interim and can weaken the argument that harm is irreparable, since delay is itself an argument courts credit against emergency relief.</w:t>
      </w:r>
    </w:p>
    <w:p>
      <w:r>
        <w:t>Recommendation: hold off on filing until (a) the access-revocation timing is documented per Section 1, and (b) the chain-of-access containment blocker in Section 3 is resolved with a firm owner and date. Filing on the anomaly review alone, without a clean account of what was accessed and when access was cut off, gives opposing counsel the opening to argue we moved on speculation. This is a timing judgment, not a legal requirement — if there is evidence of ongoing active use or disclosure, that changes the calculus and we should discuss moving on the current record notwithstanding the gaps.</w:t>
      </w:r>
    </w:p>
    <w:p>
      <w:pPr>
        <w:pStyle w:val="Heading2"/>
      </w:pPr>
      <w:r>
        <w:t>Summary of Open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Access-revocation timing — confirm and document</w:t>
            </w:r>
          </w:p>
        </w:tc>
        <w:tc>
          <w:tcPr>
            <w:tcW w:type="dxa" w:w="2880"/>
          </w:tcPr>
          <w:p>
            <w:r>
              <w:t>Priyanka</w:t>
            </w:r>
          </w:p>
        </w:tc>
        <w:tc>
          <w:tcPr>
            <w:tcW w:type="dxa" w:w="2880"/>
          </w:tcPr>
          <w:p>
            <w:r>
              <w:t>Open — needed to support reasonable-measures showing</w:t>
            </w:r>
          </w:p>
        </w:tc>
      </w:tr>
      <w:tr>
        <w:tc>
          <w:tcPr>
            <w:tcW w:type="dxa" w:w="2880"/>
          </w:tcPr>
          <w:p>
            <w:r>
              <w:t>Chain-of-access containment — named owner/firm date</w:t>
            </w:r>
          </w:p>
        </w:tc>
        <w:tc>
          <w:tcPr>
            <w:tcW w:type="dxa" w:w="2880"/>
          </w:tcPr>
          <w:p>
            <w:r>
              <w:t>Gideon</w:t>
            </w:r>
          </w:p>
        </w:tc>
        <w:tc>
          <w:tcPr>
            <w:tcW w:type="dxa" w:w="2880"/>
          </w:tcPr>
          <w:p>
            <w:r>
              <w:t>Open — escalated, blocker for Thursday review and Friday letter deadline</w:t>
            </w:r>
          </w:p>
        </w:tc>
      </w:tr>
      <w:tr>
        <w:tc>
          <w:tcPr>
            <w:tcW w:type="dxa" w:w="2880"/>
          </w:tcPr>
          <w:p>
            <w:r>
              <w:t>Patent filing status</w:t>
            </w:r>
          </w:p>
        </w:tc>
        <w:tc>
          <w:tcPr>
            <w:tcW w:type="dxa" w:w="2880"/>
          </w:tcPr>
          <w:p>
            <w:r>
              <w:t>Gideon</w:t>
            </w:r>
          </w:p>
        </w:tc>
        <w:tc>
          <w:tcPr>
            <w:tcW w:type="dxa" w:w="2880"/>
          </w:tcPr>
          <w:p>
            <w:r>
              <w:t>Open — chased separately from docketing sweep</w:t>
            </w:r>
          </w:p>
        </w:tc>
      </w:tr>
      <w:tr>
        <w:tc>
          <w:tcPr>
            <w:tcW w:type="dxa" w:w="2880"/>
          </w:tcPr>
          <w:p>
            <w:r>
              <w:t>Deshmukh response deadline under letter</w:t>
            </w:r>
          </w:p>
        </w:tc>
        <w:tc>
          <w:tcPr>
            <w:tcW w:type="dxa" w:w="2880"/>
          </w:tcPr>
          <w:p>
            <w:r>
              <w:t>Klara / tracking</w:t>
            </w:r>
          </w:p>
        </w:tc>
        <w:tc>
          <w:tcPr>
            <w:tcW w:type="dxa" w:w="2880"/>
          </w:tcPr>
          <w:p>
            <w:r>
              <w:t>Open — calendar once receipt confirmed</w:t>
            </w:r>
          </w:p>
        </w:tc>
      </w:tr>
      <w:tr>
        <w:tc>
          <w:tcPr>
            <w:tcW w:type="dxa" w:w="2880"/>
          </w:tcPr>
          <w:p>
            <w:r>
              <w:t>Injunction filing decision</w:t>
            </w:r>
          </w:p>
        </w:tc>
        <w:tc>
          <w:tcPr>
            <w:tcW w:type="dxa" w:w="2880"/>
          </w:tcPr>
          <w:p>
            <w:r>
              <w:t>Klara / Priyanka</w:t>
            </w:r>
          </w:p>
        </w:tc>
        <w:tc>
          <w:tcPr>
            <w:tcW w:type="dxa" w:w="2880"/>
          </w:tcPr>
          <w:p>
            <w:r>
              <w:t>Pending resolution of items above</w:t>
            </w:r>
          </w:p>
        </w:tc>
      </w:tr>
    </w:tbl>
    <w:p>
      <w:r>
        <w:t>Happy to walk through any of this on the 2pm call. Let me know if you want the assignment-agreement analysis in more detail for use with the client directly — as drafted here it is intended for internal strategy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