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Schedule 4 — Intellectual Property Ownership and Allocation</w:t>
      </w:r>
    </w:p>
    <w:p>
      <w:r>
        <w:t>This Schedule 4 forms part of the OEM Licence Agreement between Fairmont Industries, Inc. ("Fairmont" or "Licensor") and the Licensee named in the Agreement ("OEM" or "Licensee"). Capitalized terms not defined in this Schedule have the meanings given in the Agreement. This Schedule sets out the current negotiating position on the Section 4 ownership provisions of the Agreement, now restructured as Sections 4.1 through 4.3 to mirror the main agreement's finalized numbering, subject to Fairmont engineering's outstanding review of Section 4.2(a).</w:t>
      </w:r>
    </w:p>
    <w:p>
      <w:pPr>
        <w:pStyle w:val="Heading2"/>
      </w:pPr>
      <w:r>
        <w:t>4.1 Background IP</w:t>
      </w:r>
    </w:p>
    <w:p>
      <w:r>
        <w:t>Each party retains all right, title, and interest in and to its Background IP. "Background IP" means any Intellectual Property Rights owned or controlled by a party prior to the Effective Date, or developed by a party independently of this Agreement and without use of the other party's Confidential Information or Foreground IP. Nothing in this Agreement assigns, licenses, or otherwise transfers any Background IP except as expressly set out in Section 3 (Licence Grant).</w:t>
      </w:r>
    </w:p>
    <w:p>
      <w:pPr>
        <w:pStyle w:val="Heading2"/>
      </w:pPr>
      <w:r>
        <w:t>4.2 Foreground IP and OEM Technology Improvements</w:t>
      </w:r>
    </w:p>
    <w:p>
      <w:r>
        <w:t>(a) Sole/Licensor Improvements. "Foreground IP" means Intellectual Property Rights first conceived, created, or reduced to practice in the course of performance under this Agreement. Notwithstanding the foregoing, any Improvement made by Licensee to the Licensed Technology that (i) is developed using Fairmont's Background IP, specifications, or Confidential Information, and (ii) is not severable from the Licensed Technology without material loss of function, shall be owned by Fairmont, subject to a perpetual, royalty-free licence back to Licensee to use such Improvement solely in connection with the Licensed Products. Improvements that are severable and developed without use of Fairmont Background IP or Confidential Information are owned by Licensee, subject to the licence grant in Section 3.2. careful here — this allocation favors Fairmont materially more than the mutual-ownership fallback Licensee's counsel proposed in the last round; hold this position absent further instruction. This is the parties' current negotiating position, consistent with the main agreement's Section 4.2(a); Fairmont engineering feedback on this subsection remains the sole outstanding substantive item and is being tracked separately.</w:t>
      </w:r>
    </w:p>
    <w:p>
      <w:r>
        <w:t>(b) Joint Improvements. Where Foreground IP is jointly conceived by personnel of both parties and does not fall within Section 4.2(a), the parties shall own such Foreground IP jointly, each with an undivided interest and the right to exploit it without accounting to the other, subject to each party's confidentiality obligations under Section 6 and the exclusivity restrictions in Section 3.3.</w:t>
      </w:r>
    </w:p>
    <w:p>
      <w:pPr>
        <w:pStyle w:val="Heading2"/>
      </w:pPr>
      <w:r>
        <w:t>4.3 Joint IP</w:t>
      </w:r>
    </w:p>
    <w:p>
      <w:r>
        <w:t>This Section 4.3 confirms and carries forward the joint-ownership treatment set out in Section 4.2(b) above for any Foreground IP jointly conceived by personnel of both parties and not falling within Section 4.2(a).</w:t>
      </w:r>
    </w:p>
    <w:p>
      <w:pPr>
        <w:pStyle w:val="Heading2"/>
      </w:pPr>
      <w:r>
        <w:t>Section 4 — Ownership Provisions (Cross-Reference)</w:t>
      </w:r>
    </w:p>
    <w:p>
      <w:r>
        <w:t>4.1 Confirmation of ownership allocation. The ownership allocation set out in Sections 4.1 through 4.3 above is the parties' current negotiating position, now aligned with the finalized Section 4.2(a)/(b) structure of the main agreement (doc-000082), and is carried into the Agreement in this form pending any further comments from Licensee's counsel or Fairmont engineering on Section 4.2(a).</w:t>
      </w:r>
    </w:p>
    <w:p>
      <w:r>
        <w:t>4.2 Registration and prosecution. As between the parties, the party owning an item of Foreground IP under Section 4.2 shall have the right, but not the obligation, to file, prosecute, and maintain registrations for such IP at its own cost. For jointly owned Foreground IP under Section 4.2(b)/4.3, neither party shall file for registration without first notifying the other and offering a reasonable opportunity to participate in or object to such filing.</w:t>
      </w:r>
    </w:p>
    <w:p>
      <w:r>
        <w:t>4.3 Further assurances. Each party shall execute, and shall cause its personnel to execute, such further instruments and take such further action as may be reasonably necessary to give effect to the ownership allocation in this Schedule, including assignments consistent with Section 4.2(a).</w:t>
      </w:r>
    </w:p>
    <w:p>
      <w:r>
        <w:t>4.4 Cross-reference to indemnification. The indemnification cap structure in Section 8.2 of the main agreement is uncapped for willful misconduct and IP infringement claims, and set at 2x trailing-twelve-month fees for all other claims. This bifurcated cap is unaffected by, and operates independently of, the ownership allocation ladder in Section 4.2(a)-(b) above.</w:t>
      </w:r>
    </w:p>
    <w:p>
      <w:pPr>
        <w:pStyle w:val="Heading2"/>
      </w:pPr>
      <w:r>
        <w:t>Open Items</w:t>
      </w:r>
    </w:p>
    <w:p>
      <w:pPr>
        <w:pStyle w:val="ListBullet"/>
      </w:pPr>
      <w:r>
        <w:t>This Schedule now tracks the main agreement's finalized Section 4.2(a)/(b) structure (doc-000082, doc-000147) as the current negotiating position, not a placeholder; draft ownership of the document remains with K. Bendtsen.</w:t>
      </w:r>
    </w:p>
    <w:p>
      <w:pPr>
        <w:pStyle w:val="ListBullet"/>
      </w:pPr>
      <w:r>
        <w:t>Fairmont engineering feedback on Section 4.2(a) (OEM Technology Improvement allocation) remains the sole outstanding substantive item and is being tracked separately; the Fairmont-favorable allocation is held pending that feedback and further instruction from Licensee's counsel.</w:t>
      </w:r>
    </w:p>
    <w:p>
      <w:pPr>
        <w:pStyle w:val="ListBullet"/>
      </w:pPr>
      <w:r>
        <w:t>The bifurcated indemnity cap (uncapped for willful misconduct/IP infringement; 2x trailing-twelve-month fees otherwise) is now drafted in the main agreement's Section 8.2, consistent with the Option 1 structure previously circulated; Fairmont's response is pending.</w:t>
      </w:r>
    </w:p>
    <w:p>
      <w:pPr>
        <w:pStyle w:val="ListBullet"/>
      </w:pPr>
      <w:r>
        <w:t>Repository filing / write-access correction for this document remains unresolved and is being taken directly to repository administration; this is a system-access matter, not a drafting issue.</w:t>
      </w:r>
    </w:p>
    <w:p>
      <w:pPr>
        <w:pStyle w:val="ListBullet"/>
      </w:pPr>
      <w:r>
        <w:t>See the misfiled-document thread for background on the prior routing/ownership confusion, now clarified — this document's substantive drafting was unaffected throughout.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