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Clarifying Ownership Provisions</w:t>
      </w:r>
    </w:p>
    <w:p>
      <w:r>
        <w:t>Status: Top-priority carryover item for today. Document ownership/routing is resolved (see Open Items, item 3) — this insert should go to the assigned engagement partner/supervising associate for sign-off now. The only remaining open items are (i) Fairmont engineering's substantive response on Section 4.2(a), and (ii) finalization of Schedules A and C. No conflicts remain with the data-processing, trade-secret, or indemnity provisions of the main draft.</w:t>
      </w:r>
    </w:p>
    <w:p>
      <w:r>
        <w:t>Purpose: to resolve the flagged IP ownership gap in the Fairmont OEM Licence Agreement by inserting clarifying language governing (i) background IP retained by each party, (ii) ownership of Improvements arising during the term, and (iii) the allocation of jointly developed technology. These provisions are drafted for insertion at Section 4 (IP Ownership), tracking the numbered Section 4.2(a)/(b) grant-back/joint ownership structure now finalized in the main agreement (doc-000082), and are intended to be read together with the existing Section 4.1 language and the Section 8.5 indemnity fallback ladder, which they do not disturb.</w:t>
      </w:r>
    </w:p>
    <w:p>
      <w:pPr>
        <w:pStyle w:val="Heading2"/>
      </w:pPr>
      <w:r>
        <w:t>Section 4.1 — Ownership of Background IP</w:t>
      </w:r>
    </w:p>
    <w:p>
      <w:r>
        <w:t>4.1(a) Each party retains sole and exclusive ownership of all Intellectual Property Rights that it owned, controlled, or had rights to prior to the Effective Date, including any Intellectual Property Rights developed independently of this Agreement and without use of the other party's Confidential Information ("Background IP"). Nothing in this Agreement transfers, assigns, or licenses Background IP except as expressly set forth in Section 4 (IP Ownership).</w:t>
      </w:r>
    </w:p>
    <w:p>
      <w:r>
        <w:t>4.1(b) For clarity, Licensor's Background IP includes the OEM Technology as defined in Schedule A, and Fairmont's Background IP includes any Fairmont-proprietary integration layers, firmware, or hardware designs identified in Schedule C, in each case as they exist as of the Effective Date.</w:t>
      </w:r>
    </w:p>
    <w:p>
      <w:pPr>
        <w:pStyle w:val="Heading2"/>
      </w:pPr>
      <w:r>
        <w:t>Section 4.2 — Ownership of Improvements</w:t>
      </w:r>
    </w:p>
    <w:p>
      <w:r>
        <w:t>4.2(a) Sole and Licensor Improvements. Any Improvement conceived, developed, or reduced to practice solely by one party's personnel, without use of the other party's Confidential Information or Background IP, shall be owned solely by the party whose personnel created it ("Sole Improvements"). Notwithstanding the foregoing, any Improvement to the OEM Technology itself — whether created by Licensor, Fairmont, or jointly — shall be owned by Licensor and is deemed a Sole Improvement of Licensor for purposes of this Agreement. Fairmont hereby assigns, and shall cause its personnel and contractors to assign, all right, title, and interest in any such Improvement to Licensor, subject to the licence-back in Section 4.2(c).</w:t>
      </w:r>
    </w:p>
    <w:p>
      <w:r>
        <w:t>4.2(b) Joint Improvements. Any Improvement that does not fall within Section 4.2(a) and that is conceived or developed through material contribution from personnel of both parties ("Joint Improvements") shall be jointly owned by the parties in equal, undivided shares, with each party free to exploit the Joint Improvement without accounting to the other, except that neither party may license a Joint Improvement to a direct competitor of the other party in the Field without the other party's prior written consent.</w:t>
      </w:r>
    </w:p>
    <w:p>
      <w:r>
        <w:t>4.2(c) Licence-Back. Licensor grants Fairmont a non-exclusive, royalty-free, worldwide licence under Licensor-owned Improvements (including those assigned under Section 4.2(a)) solely to the extent necessary for Fairmont to exercise its rights under Section 2 during the Term.</w:t>
      </w:r>
    </w:p>
    <w:p>
      <w:r>
        <w:t>careful here — Section 4.2(a)'s Licensor-Improvements allocation (formerly 2.5(b)) is the provision most likely to draw Fairmont engineering pushback, since it captures Fairmont-side contributions to OEM Technology improvements as Licensor-owned. This now matches the position drafted into the main agreement's Section 4.2(a), consistent with Schedule 4's own Section 2.5(b) cross-reference and the negotiating position sent to Priyanka and Gideon. Holding pending Fairmont engineering's response; do not soften without instruction.</w:t>
      </w:r>
    </w:p>
    <w:p>
      <w:pPr>
        <w:pStyle w:val="Heading2"/>
      </w:pPr>
      <w:r>
        <w:t>Section 4.3 — Disclosure and Cooperation</w:t>
      </w:r>
    </w:p>
    <w:p>
      <w:r>
        <w:t>4.3(a) Each party shall promptly disclose to the other any Improvement in which the other party has or may have an ownership interest under Section 4.2, and shall execute such documents and take such further actions as are reasonably necessary to perfect, record, or enforce the ownership allocations set out in this Section 4.</w:t>
      </w:r>
    </w:p>
    <w:p>
      <w:r>
        <w:t>4.3(b) Nothing in this Section 4 requires either party to disclose Confidential Information beyond what is reasonably necessary to identify and allocate ownership of an Improvement.</w:t>
      </w:r>
    </w:p>
    <w:p>
      <w:pPr>
        <w:pStyle w:val="Heading2"/>
      </w:pPr>
      <w:r>
        <w:t>Interaction with Data-Processing and Trade-Secret Terms</w:t>
      </w:r>
    </w:p>
    <w:p>
      <w:r>
        <w:t>These ownership provisions do not amend or conflict with the data-processing and trade-secret sections of the draft, which remain as previously drafted. The Section 4.2 Improvements language has been cross-checked against the reviewed BAA/DPA terms for the EU collaborator and the Brazil vendors and does not conflict with those terms.</w:t>
      </w:r>
    </w:p>
    <w:p>
      <w:pPr>
        <w:pStyle w:val="Heading2"/>
      </w:pPr>
      <w:r>
        <w:t>Open Items</w:t>
      </w:r>
    </w:p>
    <w:p>
      <w:pPr>
        <w:pStyle w:val="ListNumber"/>
      </w:pPr>
      <w:r>
        <w:t>Confirm with Fairmont engineering contact (via client) whether Section 4.2(a)'s allocation of OEM Technology Improvements to Licensor is acceptable, or whether a narrower carve-out for Fairmont-originated integration improvements is required. Still outstanding as of this pass; the 'careful here' hold in Section 4.2(a) remains in place pending that confirmation.</w:t>
      </w:r>
    </w:p>
    <w:p>
      <w:pPr>
        <w:pStyle w:val="ListNumber"/>
      </w:pPr>
      <w:r>
        <w:t>Confirm Schedule A (OEM Technology) and Schedule C (Fairmont Background IP) definitions are finalized before these provisions are inserted, since Section 4.1(b) and 4.2(a) depend on those schedules.</w:t>
      </w:r>
    </w:p>
    <w:p>
      <w:pPr>
        <w:pStyle w:val="ListNumber"/>
      </w:pPr>
      <w:r>
        <w:t>Document ownership is fully resolved — the misfiled-document thread closed this via per-klara-bendtsen routing, and there is no remaining hold on routing draft-oem-licence-agreement.docx for sign-off. Route directly to the assigned engagement partner/supervising associate for sign-off on this ownership insert today, alongside items 1 and 2 above.</w:t>
      </w:r>
    </w:p>
    <w:p>
      <w:r>
        <w:t>Drafting note: this insert is intended to close the IP ownership gap flagged in reviewer markup on draft-oem-licence-agreement.docx, and has now been renumbered to Section 4.2(a)/(b) to match the structure just finalized in the main agreement (doc-000082), keeping this standalone ownership schedule consistent with the negotiating position sent to Priyanka and Gideon. It does not restate or alter the Section 8.5 indemnity fallback ladder or the 2x cap/carve-out resolution, which were addressed in a separate substantive pass.</w:t>
      </w:r>
    </w:p>
    <w:p>
      <w:r>
        <w:t>Status note: document ownership question resolved via the per-klara-bendtsen misfiled-document thread — no further hold on routing for sign-off on that basis. This provision now tracks Section 4.2 of the main agreement rather than standing as an independent placeholder insert. Outstanding open items are limited to Fairmont engineering's substantive response on 4.2(a) and finalization of Schedules A and C; both are being tracked as today's top-priority carryover alongside the Fairmont cease-and-desist and Deshmukh containment workstreams.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