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Fairmont OEM Licence File</w:t>
      </w:r>
    </w:p>
    <w:p>
      <w:r>
        <w:t>From: Oskar Ravndal, Associate, IP &amp; Technology</w:t>
      </w:r>
    </w:p>
    <w:p>
      <w:r>
        <w:t>Re: Technology/IP Schedule — Status of Open Terms in the Licensing Workstream</w:t>
      </w:r>
    </w:p>
    <w:p>
      <w:r>
        <w:t>This memo addresses the terms of the technology/IP schedule to the Fairmont OEM licence that remain open, and confirms those that have been resolved and locked in for drafting purposes. It does not address the cross-border clinical data transfer assessment, which is tracked separately and is not part of this licence's scope.</w:t>
      </w:r>
    </w:p>
    <w:p>
      <w:pPr>
        <w:pStyle w:val="Heading2"/>
      </w:pPr>
      <w:r>
        <w:t>1. What the Draft Currently Says</w:t>
      </w:r>
    </w:p>
    <w:p>
      <w:r>
        <w:t>The current licence draft (doc-000230) contains a new subsection documenting Klara's definitive confirmation of the home-forum filing location for the Fairmont OEM licence. The filing-location item has accordingly been removed from the open items list. No changes have been made to the license grant, ownership, fee, term, warranty, indemnity, or confidentiality provisions as part of that revision.</w:t>
      </w:r>
    </w:p>
    <w:p>
      <w:pPr>
        <w:pStyle w:val="Heading2"/>
      </w:pPr>
      <w:r>
        <w:t>2. Ownership — Resolved and Confirmed in Writing</w:t>
      </w:r>
    </w:p>
    <w:p>
      <w:r>
        <w:t>Per Klara's confirmation, the firm retains pre-assignment rights. This is now stated in Section 7 of doc-000256 as the definitive, confirmed answer, replacing the earlier general statement that the point was 'resolved via metadata correction.' This is the locked-in position and is reflected as such in the ownership clause of the technology/IP schedule. Consistent with the file plan to obtain definitive written confirmation of ownership, this position has now been confirmed in writing and closes out the earlier misfiled-document question referenced in the per-Oskar-Ravndal correspondence; no further follow-up is required on ownership.</w:t>
      </w:r>
    </w:p>
    <w:p>
      <w:pPr>
        <w:pStyle w:val="Heading2"/>
      </w:pPr>
      <w:r>
        <w:t>3. Filing Location — Resolved</w:t>
      </w:r>
    </w:p>
    <w:p>
      <w:r>
        <w:t>Klara has given a final, definitive answer on filing location: home-forum filing. The licence draft is being corrected to reflect this. No further follow-up is required on this point.</w:t>
      </w:r>
    </w:p>
    <w:p>
      <w:pPr>
        <w:pStyle w:val="Heading2"/>
      </w:pPr>
      <w:r>
        <w:t>4. Data Annex Gap — Resolved</w:t>
      </w:r>
    </w:p>
    <w:p>
      <w:r>
        <w:t>Section 7 of doc-000256 confirms that the related SCC/BAA/DPA annex gap has been closed, confirmed by both Petra and Klara. A brief confirmation note has been added. This item requires no further action on the licence schedule.</w:t>
      </w:r>
    </w:p>
    <w:p>
      <w:pPr>
        <w:pStyle w:val="Heading2"/>
      </w:pPr>
      <w:r>
        <w:t>5. Misfiling Item — Closed Out</w:t>
      </w:r>
    </w:p>
    <w:p>
      <w:r>
        <w:t>The day's file plan called for resolving the Fairmont OEM licence draft misfiling by confirming the definitive owner in writing and updating the draft accordingly. Both steps are now complete: the written ownership confirmation is locked into Section 7 of doc-000256 (see Section 2 above), and the filing-location correction is incorporated into doc-000230 (see Sections 1 and 3 above). No document remains misfiled or unreconciled on this point, and no further correction is pending.</w:t>
      </w:r>
    </w:p>
    <w:p>
      <w:pPr>
        <w:pStyle w:val="Heading2"/>
      </w:pPr>
      <w:r>
        <w:t>6. Sandhurst Exclusion Finding — Open, Not a Licence-Schedule Item</w:t>
      </w:r>
    </w:p>
    <w:p>
      <w:r>
        <w:t>The Sandhurst exclusion finding remains outstanding. It relates to the cross-border clinical data transfer assessment, not to the Fairmont OEM technology/IP schedule. Priyanka has been asked directly to confirm the finding and its basis, following Klara's redirect. This item is tracked as an open item on the Fairmont OEM file only because the two matters are related, and is included here for completeness, not because it affects any schedule term.</w:t>
      </w:r>
    </w:p>
    <w:p>
      <w:pPr>
        <w:pStyle w:val="Heading2"/>
      </w:pPr>
      <w:r>
        <w:t>7. Current Open Items — Technology/IP Schedule</w:t>
      </w:r>
    </w:p>
    <w:tbl>
      <w:tblPr>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Status</w:t>
            </w:r>
          </w:p>
        </w:tc>
        <w:tc>
          <w:tcPr>
            <w:tcW w:type="dxa" w:w="2160"/>
          </w:tcPr>
          <w:p>
            <w:r>
              <w:t>Owner</w:t>
            </w:r>
          </w:p>
        </w:tc>
        <w:tc>
          <w:tcPr>
            <w:tcW w:type="dxa" w:w="2160"/>
          </w:tcPr>
          <w:p>
            <w:r>
              <w:t>Notes</w:t>
            </w:r>
          </w:p>
        </w:tc>
      </w:tr>
      <w:tr>
        <w:tc>
          <w:tcPr>
            <w:tcW w:type="dxa" w:w="2160"/>
          </w:tcPr>
          <w:p>
            <w:r>
              <w:t>Ownership (pre-assignment rights)</w:t>
            </w:r>
          </w:p>
        </w:tc>
        <w:tc>
          <w:tcPr>
            <w:tcW w:type="dxa" w:w="2160"/>
          </w:tcPr>
          <w:p>
            <w:r>
              <w:t>Resolved — confirmed in writing</w:t>
            </w:r>
          </w:p>
        </w:tc>
        <w:tc>
          <w:tcPr>
            <w:tcW w:type="dxa" w:w="2160"/>
          </w:tcPr>
          <w:p>
            <w:r>
              <w:t>Klara</w:t>
            </w:r>
          </w:p>
        </w:tc>
        <w:tc>
          <w:tcPr>
            <w:tcW w:type="dxa" w:w="2160"/>
          </w:tcPr>
          <w:p>
            <w:r>
              <w:t>Firm keeps pre-assignment rights; locked in Section 7, doc-000256; written confirmation closes misfiled-document question</w:t>
            </w:r>
          </w:p>
        </w:tc>
      </w:tr>
      <w:tr>
        <w:tc>
          <w:tcPr>
            <w:tcW w:type="dxa" w:w="2160"/>
          </w:tcPr>
          <w:p>
            <w:r>
              <w:t>Filing location</w:t>
            </w:r>
          </w:p>
        </w:tc>
        <w:tc>
          <w:tcPr>
            <w:tcW w:type="dxa" w:w="2160"/>
          </w:tcPr>
          <w:p>
            <w:r>
              <w:t>Resolved</w:t>
            </w:r>
          </w:p>
        </w:tc>
        <w:tc>
          <w:tcPr>
            <w:tcW w:type="dxa" w:w="2160"/>
          </w:tcPr>
          <w:p>
            <w:r>
              <w:t>Klara</w:t>
            </w:r>
          </w:p>
        </w:tc>
        <w:tc>
          <w:tcPr>
            <w:tcW w:type="dxa" w:w="2160"/>
          </w:tcPr>
          <w:p>
            <w:r>
              <w:t>Home-forum filing; documented in doc-000230</w:t>
            </w:r>
          </w:p>
        </w:tc>
      </w:tr>
      <w:tr>
        <w:tc>
          <w:tcPr>
            <w:tcW w:type="dxa" w:w="2160"/>
          </w:tcPr>
          <w:p>
            <w:r>
              <w:t>SCC/BAA/DPA annex gap</w:t>
            </w:r>
          </w:p>
        </w:tc>
        <w:tc>
          <w:tcPr>
            <w:tcW w:type="dxa" w:w="2160"/>
          </w:tcPr>
          <w:p>
            <w:r>
              <w:t>Resolved</w:t>
            </w:r>
          </w:p>
        </w:tc>
        <w:tc>
          <w:tcPr>
            <w:tcW w:type="dxa" w:w="2160"/>
          </w:tcPr>
          <w:p>
            <w:r>
              <w:t>Petra / Klara</w:t>
            </w:r>
          </w:p>
        </w:tc>
        <w:tc>
          <w:tcPr>
            <w:tcW w:type="dxa" w:w="2160"/>
          </w:tcPr>
          <w:p>
            <w:r>
              <w:t>Confirmed closed, Section 7, doc-000256</w:t>
            </w:r>
          </w:p>
        </w:tc>
      </w:tr>
      <w:tr>
        <w:tc>
          <w:tcPr>
            <w:tcW w:type="dxa" w:w="2160"/>
          </w:tcPr>
          <w:p>
            <w:r>
              <w:t>Misfiling correction (ownership + filing location)</w:t>
            </w:r>
          </w:p>
        </w:tc>
        <w:tc>
          <w:tcPr>
            <w:tcW w:type="dxa" w:w="2160"/>
          </w:tcPr>
          <w:p>
            <w:r>
              <w:t>Closed</w:t>
            </w:r>
          </w:p>
        </w:tc>
        <w:tc>
          <w:tcPr>
            <w:tcW w:type="dxa" w:w="2160"/>
          </w:tcPr>
          <w:p>
            <w:r>
              <w:t>Oskar Ravndal</w:t>
            </w:r>
          </w:p>
        </w:tc>
        <w:tc>
          <w:tcPr>
            <w:tcW w:type="dxa" w:w="2160"/>
          </w:tcPr>
          <w:p>
            <w:r>
              <w:t>Written confirmation and draft correction both completed per file plan</w:t>
            </w:r>
          </w:p>
        </w:tc>
      </w:tr>
      <w:tr>
        <w:tc>
          <w:tcPr>
            <w:tcW w:type="dxa" w:w="2160"/>
          </w:tcPr>
          <w:p>
            <w:r>
              <w:t>Sandhurst exclusion finding</w:t>
            </w:r>
          </w:p>
        </w:tc>
        <w:tc>
          <w:tcPr>
            <w:tcW w:type="dxa" w:w="2160"/>
          </w:tcPr>
          <w:p>
            <w:r>
              <w:t>Open</w:t>
            </w:r>
          </w:p>
        </w:tc>
        <w:tc>
          <w:tcPr>
            <w:tcW w:type="dxa" w:w="2160"/>
          </w:tcPr>
          <w:p>
            <w:r>
              <w:t>Priyanka</w:t>
            </w:r>
          </w:p>
        </w:tc>
        <w:tc>
          <w:tcPr>
            <w:tcW w:type="dxa" w:w="2160"/>
          </w:tcPr>
          <w:p>
            <w:r>
              <w:t>Not a licence-schedule term; tracked for related cross-border assessment</w:t>
            </w:r>
          </w:p>
        </w:tc>
      </w:tr>
      <w:tr>
        <w:tc>
          <w:tcPr>
            <w:tcW w:type="dxa" w:w="2160"/>
          </w:tcPr>
          <w:p>
            <w:r>
              <w:t>License grant, fee, term, warranty, indemnity, confidentiality</w:t>
            </w:r>
          </w:p>
        </w:tc>
        <w:tc>
          <w:tcPr>
            <w:tcW w:type="dxa" w:w="2160"/>
          </w:tcPr>
          <w:p>
            <w:r>
              <w:t>Unchanged</w:t>
            </w:r>
          </w:p>
        </w:tc>
        <w:tc>
          <w:tcPr>
            <w:tcW w:type="dxa" w:w="2160"/>
          </w:tcPr>
          <w:p>
            <w:r>
              <w:t>—</w:t>
            </w:r>
          </w:p>
        </w:tc>
        <w:tc>
          <w:tcPr>
            <w:tcW w:type="dxa" w:w="2160"/>
          </w:tcPr>
          <w:p>
            <w:r>
              <w:t>No revisions made in this cycle</w:t>
            </w:r>
          </w:p>
        </w:tc>
      </w:tr>
    </w:tbl>
    <w:p>
      <w:pPr>
        <w:pStyle w:val="Heading2"/>
      </w:pPr>
      <w:r>
        <w:t>8. Conclusion</w:t>
      </w:r>
    </w:p>
    <w:p>
      <w:r>
        <w:t>The technology/IP schedule's substantive open items — ownership and filing location — are resolved and reflected in the current draft, with ownership now confirmed in writing per the file plan, and the misfiling issue formally closed out. The data annex gap is closed. The only item still open, the Sandhurst exclusion finding, does not bear on this schedule's terms. No further open items remain on the technology/IP schedule pending drafting sign-off.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