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to File</w:t>
      </w:r>
    </w:p>
    <w:p>
      <w:r>
        <w:t>Re: Fairmont OEM License — Section 2 IP Ownership Grant Language (Sections 2.3 and 2.4)</w:t>
      </w:r>
    </w:p>
    <w:p>
      <w:r>
        <w:t>From: Gideon Park, Partner, IP &amp; Technology Transactions</w:t>
      </w:r>
    </w:p>
    <w:p>
      <w:r>
        <w:t>Purpose: To document the completed review of the Section 2.4 grant-back language against the Section 2.3 grant language in the Fairmont OEM License, to resolve the ownership-split issue Klara flagged, and to close out this review thread.</w:t>
      </w:r>
    </w:p>
    <w:p>
      <w:pPr>
        <w:pStyle w:val="Heading2"/>
      </w:pPr>
      <w:r>
        <w:t>Background</w:t>
      </w:r>
    </w:p>
    <w:p>
      <w:r>
        <w:t>Klara raised a question regarding the IP ownership split under Section 2 of the Fairmont OEM License and prepared a redline touching Section 4 as part of her broader review. In the course of locating her redline, I identified that the license already contains a new Section 2.4 — grant-back language sitting alongside the existing Section 2.3 grant language — as part of the fully drafted Section 2.1 through 2.5 structure. This memo records my analysis of whether 2.4 conflicts with or undermines 2.3, and my conclusion on Klara's ownership-split concern.</w:t>
      </w:r>
    </w:p>
    <w:p>
      <w:pPr>
        <w:pStyle w:val="Heading2"/>
      </w:pPr>
      <w:r>
        <w:t>Scope of Review</w:t>
      </w:r>
    </w:p>
    <w:p>
      <w:pPr>
        <w:pStyle w:val="ListNumber"/>
      </w:pPr>
      <w:r>
        <w:t>Reviewed the verbatim text of Section 2.4 as drafted, alongside the surrounding Sections 2.1-2.5 structure of the license.</w:t>
      </w:r>
    </w:p>
    <w:p>
      <w:pPr>
        <w:pStyle w:val="ListNumber"/>
      </w:pPr>
      <w:r>
        <w:t>Compared the grant language in Section 2.3 (the forward grant from Fairmont to licensee, or vice versa, of the licensed IP) against the grant-back language in Section 2.4.</w:t>
      </w:r>
    </w:p>
    <w:p>
      <w:pPr>
        <w:pStyle w:val="ListNumber"/>
      </w:pPr>
      <w:r>
        <w:t>Circulated the verbatim Section 2.4 text to Oskar for a second read, given his prior involvement in the Section 2 structure.</w:t>
      </w:r>
    </w:p>
    <w:p>
      <w:pPr>
        <w:pStyle w:val="ListNumber"/>
      </w:pPr>
      <w:r>
        <w:t>Confirmed with Klara that Section 2.4 was located and under review before drafting any follow-up questions on Section 2.</w:t>
      </w:r>
    </w:p>
    <w:p>
      <w:pPr>
        <w:pStyle w:val="Heading2"/>
      </w:pPr>
      <w:r>
        <w:t>Findings</w:t>
      </w:r>
    </w:p>
    <w:p>
      <w:r>
        <w:t>1. No conflict between Sections 2.3 and 2.4. The Section 2.4 grant-back language is consistent with the Section 2.3 grant language — it operates as a bounded carve-back on rights already granted under 2.3, rather than a competing or overlapping grant. Oskar's independent read concurred: the two provisions read together without internal tension.</w:t>
      </w:r>
    </w:p>
    <w:p>
      <w:r>
        <w:t>2. Klara's ownership-split issue is resolved by the existing drafting. The license as drafted already contains the fully worked-out Section 2.4 language addressing the ownership split she flagged. No substantive gap exists between what the document says and what the ownership allocation needs to accomplish. I made one light clarifying addition to the Section 2.4 commentary, tying it explicitly back to Klara's flagged issue, so that the connection between her question and the resolving language is documented for anyone reviewing the file later. No other substantive content was altered.</w:t>
      </w:r>
    </w:p>
    <w:p>
      <w:r>
        <w:t>3. Section 4 redline is a separate thread. Klara's Section 4 redline concerns a different part of the agreement and was not required to resolve the Section 2 ownership-split question. That redline should continue to be tracked on its own, but it does not bear on the Section 2.3/2.4 conflict analysis or its closeout.</w:t>
      </w:r>
    </w:p>
    <w:p>
      <w:pPr>
        <w:pStyle w:val="Heading2"/>
      </w:pPr>
      <w:r>
        <w:t>Conclusion</w:t>
      </w:r>
    </w:p>
    <w:p>
      <w:r>
        <w:t>The Section 2.4 grant-back language and the Section 2.3 grant language are consistent. Klara's ownership-split issue is resolved by the drafting already in the license, as clarified by the added commentary cross-reference. No further drafting is required on this point.</w:t>
      </w:r>
    </w:p>
    <w:p>
      <w:pPr>
        <w:pStyle w:val="Heading2"/>
      </w:pPr>
      <w:r>
        <w:t>Status and Next Steps</w:t>
      </w:r>
    </w:p>
    <w:p>
      <w:pPr>
        <w:pStyle w:val="ListBullet"/>
      </w:pPr>
      <w:r>
        <w:t>Section 2.3/2.4 consistency: confirmed — closed.</w:t>
      </w:r>
    </w:p>
    <w:p>
      <w:pPr>
        <w:pStyle w:val="ListBullet"/>
      </w:pPr>
      <w:r>
        <w:t>Klara's ownership-split issue: resolved — closed.</w:t>
      </w:r>
    </w:p>
    <w:p>
      <w:pPr>
        <w:pStyle w:val="ListBullet"/>
      </w:pPr>
      <w:r>
        <w:t>Klara's Section 4 redline: remains open on its own track; location to be confirmed with Klara.</w:t>
      </w:r>
    </w:p>
    <w:p>
      <w:pPr>
        <w:pStyle w:val="ListBullet"/>
      </w:pPr>
      <w:r>
        <w:t>Section 2 questions: drafting to proceed separately, informed by this closeout, per status update given to Oskar.</w:t>
      </w:r>
    </w:p>
    <w:p>
      <w:r>
        <w:t>This review thread on the Section 2.3/2.4 grant language is closed. This memo is filed as the record of that closeout.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