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New Matter Intake, tkt-000023</w:t>
            </w:r>
          </w:p>
        </w:tc>
      </w:tr>
      <w:tr>
        <w:tc>
          <w:tcPr>
            <w:tcW w:type="dxa" w:w="4320"/>
          </w:tcPr>
          <w:p>
            <w:r>
              <w:t>From</w:t>
            </w:r>
          </w:p>
        </w:tc>
        <w:tc>
          <w:tcPr>
            <w:tcW w:type="dxa" w:w="4320"/>
          </w:tcPr>
          <w:p>
            <w:r>
              <w:t>Lucien Abara, Senior Associate</w:t>
            </w:r>
          </w:p>
        </w:tc>
      </w:tr>
      <w:tr>
        <w:tc>
          <w:tcPr>
            <w:tcW w:type="dxa" w:w="4320"/>
          </w:tcPr>
          <w:p>
            <w:r>
              <w:t>Date</w:t>
            </w:r>
          </w:p>
        </w:tc>
        <w:tc>
          <w:tcPr>
            <w:tcW w:type="dxa" w:w="4320"/>
          </w:tcPr>
          <w:p>
            <w:r>
              <w:t>Today</w:t>
            </w:r>
          </w:p>
        </w:tc>
      </w:tr>
      <w:tr>
        <w:tc>
          <w:tcPr>
            <w:tcW w:type="dxa" w:w="4320"/>
          </w:tcPr>
          <w:p>
            <w:r>
              <w:t>Re</w:t>
            </w:r>
          </w:p>
        </w:tc>
        <w:tc>
          <w:tcPr>
            <w:tcW w:type="dxa" w:w="4320"/>
          </w:tcPr>
          <w:p>
            <w:r>
              <w:t>Conflicts Check Findings and Recommendation — New Matter Intake</w:t>
            </w:r>
          </w:p>
        </w:tc>
      </w:tr>
    </w:tbl>
    <w:p>
      <w:pPr>
        <w:pStyle w:val="Heading2"/>
      </w:pPr>
      <w:r>
        <w:t>Conclusion</w:t>
      </w:r>
    </w:p>
    <w:p>
      <w:r>
        <w:t>The better view is that intake should proceed on the pending new matters subject to two flagged items requiring partner sign-off before engagement letters issue. No disqualifying conflict was identified across current active engagements, but two adjacency issues warrant a documented waiver or screening decision rather than silent clearance.</w:t>
      </w:r>
    </w:p>
    <w:p>
      <w:pPr>
        <w:pStyle w:val="Heading2"/>
      </w:pPr>
      <w:r>
        <w:t>Scope of Review</w:t>
      </w:r>
    </w:p>
    <w:p>
      <w:r>
        <w:t>This memorandum documents the conflicts and new matter intake review conducted this week under tkt-000023, cross-referencing proposed new matters against the firm's current active engagement list. The review covered party names, adverse party names, and industry/counterparty overlaps across all currently open matters listed in the firm's engagement register. This review corresponds to the scheduled conflicts-check block for the current intake cycle and reflects the current state of the active engagement register as of this pass; findings below will be revisited at the next scheduled check as new matters are added or resolved.</w:t>
      </w:r>
    </w:p>
    <w:p>
      <w:pPr>
        <w:pStyle w:val="Heading2"/>
      </w:pPr>
      <w:r>
        <w:t>Active Engagement Register Reviewed</w:t>
      </w:r>
    </w:p>
    <w:p>
      <w:pPr>
        <w:pStyle w:val="ListNumber"/>
      </w:pPr>
      <w:r>
        <w:t>Verity Grain — Hollstead supply dispute</w:t>
      </w:r>
    </w:p>
    <w:p>
      <w:pPr>
        <w:pStyle w:val="ListNumber"/>
      </w:pPr>
      <w:r>
        <w:t>Cotswold Mutual — Aldworth professional liability</w:t>
      </w:r>
    </w:p>
    <w:p>
      <w:pPr>
        <w:pStyle w:val="ListNumber"/>
      </w:pPr>
      <w:r>
        <w:t>Coastal Meridian — regulatory inquiry</w:t>
      </w:r>
    </w:p>
    <w:p>
      <w:pPr>
        <w:pStyle w:val="ListNumber"/>
      </w:pPr>
      <w:r>
        <w:t>Coastal Meridian — credit agreement covenant review</w:t>
      </w:r>
    </w:p>
    <w:p>
      <w:pPr>
        <w:pStyle w:val="ListNumber"/>
      </w:pPr>
      <w:r>
        <w:t>Halden Orthopedics — Renwick non-compete</w:t>
      </w:r>
    </w:p>
    <w:p>
      <w:pPr>
        <w:pStyle w:val="ListNumber"/>
      </w:pPr>
      <w:r>
        <w:t>Halden Orthopedics — Tessaro malpractice defence</w:t>
      </w:r>
    </w:p>
    <w:p>
      <w:pPr>
        <w:pStyle w:val="ListNumber"/>
      </w:pPr>
      <w:r>
        <w:t>Verity Grain — Ardmore elevator acquisition</w:t>
      </w:r>
    </w:p>
    <w:p>
      <w:pPr>
        <w:pStyle w:val="ListNumber"/>
      </w:pPr>
      <w:r>
        <w:t>Pellumbra — Ravenna collaboration agreement</w:t>
      </w:r>
    </w:p>
    <w:p>
      <w:pPr>
        <w:pStyle w:val="ListNumber"/>
      </w:pPr>
      <w:r>
        <w:t>Pellumbra — Series C disclosure schedule</w:t>
      </w:r>
    </w:p>
    <w:p>
      <w:pPr>
        <w:pStyle w:val="ListNumber"/>
      </w:pPr>
      <w:r>
        <w:t>Pellumbra — cross-border clinical data assessment</w:t>
      </w:r>
    </w:p>
    <w:p>
      <w:pPr>
        <w:pStyle w:val="ListNumber"/>
      </w:pPr>
      <w:r>
        <w:t>Northmoor — Sandhurst platform acquisition</w:t>
      </w:r>
    </w:p>
    <w:p>
      <w:pPr>
        <w:pStyle w:val="Heading2"/>
      </w:pPr>
      <w:r>
        <w:t>Findings</w:t>
      </w:r>
    </w:p>
    <w:p>
      <w:pPr>
        <w:pStyle w:val="Heading3"/>
      </w:pPr>
      <w:r>
        <w:t>1. Verity Grain — dual-matter concentration</w:t>
      </w:r>
    </w:p>
    <w:p>
      <w:r>
        <w:t>Verity Grain is presently a client in two unrelated matters: the Hollstead supply dispute (litigation) and the Ardmore elevator acquisition (transactional). No adversity exists between these matters and no shared privileged information appears necessary to either representation. The better view is this is a permissible concurrent representation requiring only the standard information-barrier note in each file, not a waiver letter. Recommend: confirm no shared personnel are billing conflicting strategic advice across the two matters, and log the concentration in the client relationship record.</w:t>
      </w:r>
    </w:p>
    <w:p>
      <w:pPr>
        <w:pStyle w:val="Heading3"/>
      </w:pPr>
      <w:r>
        <w:t>2. Halden Orthopedics — dual-matter concentration with distinct adversity profile</w:t>
      </w:r>
    </w:p>
    <w:p>
      <w:r>
        <w:t>Halden Orthopedics is a client in both the Renwick non-compete matter and the Tessaro malpractice defence. Renwick is a former Halden employee; Tessaro is a malpractice claim against a Halden-affiliated physician. Initial review found no indication that Renwick is a witness or otherwise connected to the Tessaro matter, but the overlap in personnel (Halden's in-house counsel is the primary contact for both) creates a heightened risk of inadvertent disclosure across matter teams. Recommend: partner-level confirmation that separate teams remain assigned, and a written conflicts memo to the Halden file confirming the basis for continued joint representation.</w:t>
      </w:r>
    </w:p>
    <w:p>
      <w:pPr>
        <w:pStyle w:val="Heading3"/>
      </w:pPr>
      <w:r>
        <w:t>3. Pellumbra — three concurrent matters, cross-border data question flagged</w:t>
      </w:r>
    </w:p>
    <w:p>
      <w:r>
        <w:t>Pellumbra is the subject of three open matters: the Ravenna collaboration agreement, the Series C disclosure schedule, and the cross-border clinical data assessment. These matters are substantively related (all arise from Pellumbra's financing and collaboration activity) and do not present adversity. However, the disclosure schedule work for the Series C financing may require disclosure of terms under the Ravenna collaboration agreement, and counsel should confirm client consent has been obtained to use collaboration-agreement terms in the financing disclosure schedule where those terms are not otherwise public. This is not a conflict in the technical sense but a confidentiality-scope question that should be resolved before the disclosure schedule is finalized.</w:t>
      </w:r>
    </w:p>
    <w:p>
      <w:pPr>
        <w:pStyle w:val="Heading3"/>
      </w:pPr>
      <w:r>
        <w:t>4. Coastal Meridian — dual-matter concentration, regulatory and covenant</w:t>
      </w:r>
    </w:p>
    <w:p>
      <w:r>
        <w:t>Coastal Meridian is a client in the regulatory inquiry matter and the credit agreement covenant review. No adversity or information-barrier concern was identified; the matters are complementary (the covenant review may be informed by disclosure obligations arising from the regulatory inquiry) and no restriction on information sharing between the two matter teams is warranted or recommended.</w:t>
      </w:r>
    </w:p>
    <w:p>
      <w:pPr>
        <w:pStyle w:val="Heading3"/>
      </w:pPr>
      <w:r>
        <w:t>5. Cotswold Mutual / Aldworth — no overlap identified</w:t>
      </w:r>
    </w:p>
    <w:p>
      <w:r>
        <w:t>No overlap, adversity, or adjacency was identified between the Cotswold Mutual — Aldworth professional liability matter and any other active engagement reviewed.</w:t>
      </w:r>
    </w:p>
    <w:p>
      <w:pPr>
        <w:pStyle w:val="Heading3"/>
      </w:pPr>
      <w:r>
        <w:t>6. Northmoor — Sandhurst platform acquisition — no overlap identified</w:t>
      </w:r>
    </w:p>
    <w:p>
      <w:r>
        <w:t>No overlap, adversity, or adjacency was identified between this matter and any other active engagement reviewed. Standard new-matter intake clearance applies.</w:t>
      </w:r>
    </w:p>
    <w:p>
      <w:pPr>
        <w:pStyle w:val="Heading2"/>
      </w:pPr>
      <w:r>
        <w:t>Recommendation</w:t>
      </w:r>
    </w:p>
    <w:p>
      <w:pPr>
        <w:pStyle w:val="ListNumber"/>
      </w:pPr>
      <w:r>
        <w:t>Halden Orthopedics (Renwick / Tessaro): obtain partner sign-off confirming separate staffing and file a short conflicts memo to the Halden client file before any further work product issues on either matter.</w:t>
      </w:r>
    </w:p>
    <w:p>
      <w:pPr>
        <w:pStyle w:val="ListNumber"/>
      </w:pPr>
      <w:r>
        <w:t>Pellumbra (Ravenna / Series C): confirm client consent for use of collaboration-agreement terms in the Series C disclosure schedule before the schedule is circulated to underwriters or investors.</w:t>
      </w:r>
    </w:p>
    <w:p>
      <w:pPr>
        <w:pStyle w:val="ListNumber"/>
      </w:pPr>
      <w:r>
        <w:t>Verity Grain, Coastal Meridian: no action beyond standard file notation of concurrent representation.</w:t>
      </w:r>
    </w:p>
    <w:p>
      <w:pPr>
        <w:pStyle w:val="ListNumber"/>
      </w:pPr>
      <w:r>
        <w:t>Cotswold Mutual, Northmoor: clear for intake without further review.</w:t>
      </w:r>
    </w:p>
    <w:p>
      <w:r>
        <w:t>This memorandum should be placed in the tkt-000023 intake file and the two flagged items tracked to closure before the affected work product (Halden filings, Pellumbra disclosure schedule) is finalized. This review will be advanced again at the next scheduled conflicts-check block; any new matters opened or resolved in the interim should be reflected in that subsequent pass rather than reopening this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