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File / Trademark Opposition Team</w:t>
      </w:r>
    </w:p>
    <w:p>
      <w:r>
        <w:t>From: Klara Bendtsen, Senior Associate, IP &amp; Technology</w:t>
      </w:r>
    </w:p>
    <w:p>
      <w:r>
        <w:t>Re: Prioritization of Open Trademark Oppositions — Atwater Foods and Pellumbra</w:t>
      </w:r>
    </w:p>
    <w:p>
      <w:r>
        <w:t>Status: Overdue — first prioritization document produced on this pass</w:t>
      </w:r>
    </w:p>
    <w:p>
      <w:pPr>
        <w:pStyle w:val="Heading2"/>
      </w:pPr>
      <w:r>
        <w:t>1. Purpose</w:t>
      </w:r>
    </w:p>
    <w:p>
      <w:r>
        <w:t>This memo triages the two open trademark oppositions currently on our docket — Atwater Foods and Pellumbra — into a ranked working order, with the rationale for that ranking, so that resourcing and deadline attention are allocated correctly starting immediately. No prioritization document existed prior to this memo; this fills that gap.</w:t>
      </w:r>
    </w:p>
    <w:p>
      <w:pPr>
        <w:pStyle w:val="Heading2"/>
      </w:pPr>
      <w:r>
        <w:t>2. Ranked Order</w:t>
      </w:r>
    </w:p>
    <w:p>
      <w:pPr>
        <w:pStyle w:val="ListNumber"/>
      </w:pPr>
      <w:r>
        <w:t>Priority 1 — Atwater Foods opposition</w:t>
      </w:r>
    </w:p>
    <w:p>
      <w:pPr>
        <w:pStyle w:val="ListNumber"/>
      </w:pPr>
      <w:r>
        <w:t>Priority 2 — Pellumbra opposition</w:t>
      </w:r>
    </w:p>
    <w:p>
      <w:pPr>
        <w:pStyle w:val="Heading2"/>
      </w:pPr>
      <w:r>
        <w:t>3. Rationale — Atwater Foods (Priority 1)</w:t>
      </w:r>
    </w:p>
    <w:p>
      <w:r>
        <w:t>Atwater Foods is ranked first for three reasons. First, it is the matter with the more immediate procedural exposure — any lapse on our side converts a defensible opposition into a default, which is not a recoverable position. Second, the underlying record on this matter is comparatively settled: there is no open factual or evidentiary question comparable to the unresolved items still being chased elsewhere on the docket, so associate time here converts directly into filed work product rather than into further fact-gathering. Third, sequencing Atwater first lets us clear a matter with a clean record before turning attention to Pellumbra, where at least one dependency is still outstanding (see Section 4). Careful here: if the Atwater deadline calendar has not been independently re-verified against the docket system this week, that verification should happen before this ranking is relied on for scheduling.</w:t>
      </w:r>
    </w:p>
    <w:p>
      <w:pPr>
        <w:pStyle w:val="Heading2"/>
      </w:pPr>
      <w:r>
        <w:t>4. Rationale — Pellumbra (Priority 2)</w:t>
      </w:r>
    </w:p>
    <w:p>
      <w:r>
        <w:t>Pellumbra is ranked second, not because it is lower-stakes, but because it currently has an open dependency that limits what productive work can be done on it right now. Substantive next steps on Pellumbra are constrained pending resolution of an outstanding confirmation that is still being actively chased rather than resolved. Rather than let associate time sit idle waiting on that confirmation, we sequence Pellumbra behind Atwater so that the team is doing productive, deadline-driven work on Atwater while the Pellumbra dependency resolves in parallel. This is a sequencing decision, not a judgment that Pellumbra is less important.</w:t>
      </w:r>
    </w:p>
    <w:p>
      <w:pPr>
        <w:pStyle w:val="Heading2"/>
      </w:pPr>
      <w:r>
        <w:t>5. Cross-Matter Note</w:t>
      </w:r>
    </w:p>
    <w:p>
      <w:r>
        <w:t>This ranking should be revisited if either matter's deadline calendar changes, or once the outstanding Pellumbra confirmation resolves — at that point Pellumbra may require re-ranking to Priority 1 depending on the deadline that emerges. This memo does not alter any prior sign-off, hold, or escalation position on either matter; it is limited to sequencing of team attention.</w:t>
      </w:r>
    </w:p>
    <w:p>
      <w:pPr>
        <w:pStyle w:val="Heading2"/>
      </w:pPr>
      <w:r>
        <w:t>6. Recommended Next Steps</w:t>
      </w:r>
    </w:p>
    <w:p>
      <w:pPr>
        <w:pStyle w:val="ListNumber"/>
      </w:pPr>
      <w:r>
        <w:t>Confirm Atwater Foods deadline calendar against the docket system this week and begin substantive drafting immediately.</w:t>
      </w:r>
    </w:p>
    <w:p>
      <w:pPr>
        <w:pStyle w:val="ListNumber"/>
      </w:pPr>
      <w:r>
        <w:t>Continue chasing the outstanding Pellumbra confirmation; do not treat it as resolved until an explicit confirmation is received.</w:t>
      </w:r>
    </w:p>
    <w:p>
      <w:pPr>
        <w:pStyle w:val="ListNumber"/>
      </w:pPr>
      <w:r>
        <w:t>Re-issue this prioritization memo if either matter's status changes materially, rather than relying on verbal updates.</w:t>
      </w:r>
    </w:p>
    <w:p>
      <w:pPr>
        <w:pStyle w:val="ListNumber"/>
      </w:pPr>
      <w:r>
        <w:t>Flag to the partner if Atwater and Pellumbra deadlines converge, since that would require additional resourcing rather than pure sequencing.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