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Desmond Achebe</w:t>
      </w:r>
    </w:p>
    <w:p>
      <w:r>
        <w:t>From: Cecile Marchand</w:t>
      </w:r>
    </w:p>
    <w:p>
      <w:r>
        <w:t>Re: Tessaro v. Halden Orthopedics — Reserve Figure, Basis, and Recommended Adjustment</w:t>
      </w:r>
    </w:p>
    <w:p>
      <w:r>
        <w:t>This memo gives the substantive answer on reserves that has been the subject of several prior requests; I apologize for the delay, which reflected a deliberate wait for the mediation-timing question to settle before committing a number to paper. It has now settled: we are targeting the week of the 20th for mediation, subject to mediator availability, with a prep call to align on liability and damages positioning and settlement authority in advance. That timeline is relevant to the reserve figure below, because it fixes the point by which the litigation reserve should reflect an achievable settlement range rather than a worst-case trial exposure figure.</w:t>
      </w:r>
    </w:p>
    <w:p>
      <w:pPr>
        <w:pStyle w:val="Heading2"/>
      </w:pPr>
      <w:r>
        <w:t>1. Current Reserve</w:t>
      </w:r>
    </w:p>
    <w:p>
      <w:r>
        <w:t>The current reserve on this file stands at the figure carried since the pleadings stage, set principally by reference to the ad damnum and a generic severity band for orthopedic-device professional liability claims of this general character. It was not, at the time it was set, informed by case-specific liability analysis, because that analysis had not yet been done. It should now be revisited on that basis alone, independent of any view on the merits.</w:t>
      </w:r>
    </w:p>
    <w:p>
      <w:pPr>
        <w:pStyle w:val="Heading2"/>
      </w:pPr>
      <w:r>
        <w:t>2. Basis for Adjustment</w:t>
      </w:r>
    </w:p>
    <w:p>
      <w:pPr>
        <w:pStyle w:val="ListNumber"/>
      </w:pPr>
      <w:r>
        <w:t>Liability exposure: The recall history attaching to the device at issue is the dominant factor in this assessment. A jury presented with a documented recall, even one addressing a different failure mode than the one alleged here, tends to treat it as evidence of a pattern rather than an isolated event. I am not sure the argument that the recall is immaterial to causation survives contact with a plaintiff's expert prepared to draw that inference. This pushes the liability-exposure component of the reserve upward from where a claim without recall history would sit.</w:t>
      </w:r>
    </w:p>
    <w:p>
      <w:pPr>
        <w:pStyle w:val="ListNumber"/>
      </w:pPr>
      <w:r>
        <w:t>Damages exposure: The damages case is more contained than the liability picture suggests in isolation. Special damages (revision surgery, related treatment) are documented and largely undisputed; the principal variable is the general-damages component, where venue and the specific jury pool matter more than the medical record does. I have not seen anything in the file that would support a damages figure materially above the range Roland and I discussed as the working settlement band, and I would resist reserving to a number driven by the ad damnum alone.</w:t>
      </w:r>
    </w:p>
    <w:p>
      <w:pPr>
        <w:pStyle w:val="ListNumber"/>
      </w:pPr>
      <w:r>
        <w:t>Procedural posture: With mediation targeted for the week of the 20th, the reserve should be set to reflect a realistic settlement range achievable at that mediation, not the maximum theoretical trial verdict. Reserving to trial exposure this early, before authority and settlement-range work is complete, tends to anchor negotiating expectations internally in a way that is difficult to walk back later.</w:t>
      </w:r>
    </w:p>
    <w:p>
      <w:pPr>
        <w:pStyle w:val="Heading2"/>
      </w:pPr>
      <w:r>
        <w:t>3. Recommended Adjustment</w:t>
      </w:r>
    </w:p>
    <w:p>
      <w:r>
        <w:t>I recommend increasing the reserve from its current level to reflect the recall-driven liability exposure, while resisting any adjustment to the top of the ad damnum range. The increase should be sized to the settlement range Roland and I will finalize on our prep call this week, in advance of the mediation date; I will circulate that range once set, with the reserve figure updated to match. Setting the reserve prematurely, before that call, risks a number disconnected from the actual negotiating posture we intend to take into mediation.</w:t>
      </w:r>
    </w:p>
    <w:p>
      <w:r>
        <w:t>I recognize this is a qualified answer rather than a single number, and that qualification is deliberate: a reserve figure set before the settlement-range discussion is complete would not be one I could stand behind if asked to defend it later. I expect to have the finalized figure to you within the same week as the prep call with Roland.</w:t>
      </w:r>
    </w:p>
    <w:p>
      <w:pPr>
        <w:pStyle w:val="Heading2"/>
      </w:pPr>
      <w:r>
        <w:t>4. Priority and Next Steps</w:t>
      </w:r>
    </w:p>
    <w:p>
      <w:pPr>
        <w:pStyle w:val="ListBullet"/>
      </w:pPr>
      <w:r>
        <w:t>Prep call with Roland this week — align on liability/damages position and settlement authority range.</w:t>
      </w:r>
    </w:p>
    <w:p>
      <w:pPr>
        <w:pStyle w:val="ListBullet"/>
      </w:pPr>
      <w:r>
        <w:t>Confirm mediation date for the week of the 20th, subject to mediator availability.</w:t>
      </w:r>
    </w:p>
    <w:p>
      <w:pPr>
        <w:pStyle w:val="ListBullet"/>
      </w:pPr>
      <w:r>
        <w:t>Circulate finalized reserve figure and settlement range promptly following the prep call.</w:t>
      </w:r>
    </w:p>
    <w:p>
      <w:pPr>
        <w:pStyle w:val="ListBullet"/>
      </w:pPr>
      <w:r>
        <w:t>Flag immediately if the mediation date slips in either direction, as that will affect the timing of this reserve figure.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