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Memorandum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To</w:t>
            </w:r>
          </w:p>
        </w:tc>
        <w:tc>
          <w:tcPr>
            <w:tcW w:type="dxa" w:w="4320"/>
          </w:tcPr>
          <w:p>
            <w:r>
              <w:t>Fionnuala Doherty; Roland Pesch</w:t>
            </w:r>
          </w:p>
        </w:tc>
      </w:tr>
      <w:tr>
        <w:tc>
          <w:tcPr>
            <w:tcW w:type="dxa" w:w="4320"/>
          </w:tcPr>
          <w:p>
            <w:r>
              <w:t>From</w:t>
            </w:r>
          </w:p>
        </w:tc>
        <w:tc>
          <w:tcPr>
            <w:tcW w:type="dxa" w:w="4320"/>
          </w:tcPr>
          <w:p>
            <w:r>
              <w:t>Cecile Marchand</w:t>
            </w:r>
          </w:p>
        </w:tc>
      </w:tr>
      <w:tr>
        <w:tc>
          <w:tcPr>
            <w:tcW w:type="dxa" w:w="4320"/>
          </w:tcPr>
          <w:p>
            <w:r>
              <w:t>Re</w:t>
            </w:r>
          </w:p>
        </w:tc>
        <w:tc>
          <w:tcPr>
            <w:tcW w:type="dxa" w:w="4320"/>
          </w:tcPr>
          <w:p>
            <w:r>
              <w:t>Halden Orthopedics — Tessaro Malpractice Defence: Mediation Date-Setting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Time-sensitive; requires joint response to mediator's office this week</w:t>
            </w:r>
          </w:p>
        </w:tc>
      </w:tr>
    </w:tbl>
    <w:p>
      <w:pPr>
        <w:pStyle w:val="Heading2"/>
      </w:pPr>
      <w:r>
        <w:t>Purpose</w:t>
      </w:r>
    </w:p>
    <w:p>
      <w:r>
        <w:t>This memorandum responds to both of your notes asking for my read on mediation date-setting in Halden Orthopedics v. Tessaro. The date question has sat unaddressed longer than it should have, and it is now on today's docket-call agenda; I want to give you a clear recommendation before that call rather than after it.</w:t>
      </w:r>
    </w:p>
    <w:p>
      <w:pPr>
        <w:pStyle w:val="Heading2"/>
      </w:pPr>
      <w:r>
        <w:t>Background</w:t>
      </w:r>
    </w:p>
    <w:p>
      <w:r>
        <w:t>The claim arises from Dr. Tessaro's post-operative care of a Halden Orthopedics patient. We have been defending on the standard of care and on causation, and I understand from prior discussion that both experts' reports are substantially complete. The mediator's office has asked for our position on scheduling, and opposing counsel has separately signaled a preference for a date in the next six to eight weeks.</w:t>
      </w:r>
    </w:p>
    <w:p>
      <w:pPr>
        <w:pStyle w:val="Heading2"/>
      </w:pPr>
      <w:r>
        <w:t>Considerations</w:t>
      </w:r>
    </w:p>
    <w:p>
      <w:pPr>
        <w:pStyle w:val="ListNumber"/>
      </w:pPr>
      <w:r>
        <w:t>Expert readiness: mediation is most useful once both standard-of-care and causation reports are finalized and exchanged, not merely drafted; I do not want to mediate against an incomplete record on our side.</w:t>
      </w:r>
    </w:p>
    <w:p>
      <w:pPr>
        <w:pStyle w:val="ListNumber"/>
      </w:pPr>
      <w:r>
        <w:t>Discovery status: any outstanding written discovery or the Tessaro deposition should close before a mediation date is fixed, so that valuation numbers presented at mediation are not undercut by later disclosures.</w:t>
      </w:r>
    </w:p>
    <w:p>
      <w:pPr>
        <w:pStyle w:val="ListNumber"/>
      </w:pPr>
      <w:r>
        <w:t>Court calendar pressure: if a dispositive motion deadline is approaching, an earlier mediation date may be preferable so that a settlement, if reached, precedes the cost of full motion briefing.</w:t>
      </w:r>
    </w:p>
    <w:p>
      <w:pPr>
        <w:pStyle w:val="ListNumber"/>
      </w:pPr>
      <w:r>
        <w:t>Client preference: Halden has previously indicated an interest in resolving before its next board cycle; that preference argues for scheduling sooner rather than later.</w:t>
      </w:r>
    </w:p>
    <w:p>
      <w:pPr>
        <w:pStyle w:val="Heading2"/>
      </w:pPr>
      <w:r>
        <w:t>Recommendation</w:t>
      </w:r>
    </w:p>
    <w:p>
      <w:r>
        <w:t>On balance, I recommend we propose a mediation date eight weeks out, conditioned on completion of the Tessaro deposition and exchange of final expert reports no later than three weeks before the session. This gives us a genuine settlement posture rather than a hollow one. I am not sure a date any sooner than that survives contact with the actual state of discovery; better to fix a realistic date now than to seek a continuance later, which tends to signal weakness to the other side and irritate the mediator.</w:t>
      </w:r>
    </w:p>
    <w:p>
      <w:r>
        <w:t>I would ask that one of you confirm Halden's availability against this window and that we jointly communicate a proposed date to the mediator's office by the end of this week, given how long the question has already sat open.</w:t>
      </w:r>
    </w:p>
    <w:p>
      <w:pPr>
        <w:pStyle w:val="Heading2"/>
      </w:pPr>
      <w:r>
        <w:t>Next Steps</w:t>
      </w:r>
    </w:p>
    <w:p>
      <w:pPr>
        <w:pStyle w:val="ListBullet"/>
      </w:pPr>
      <w:r>
        <w:t>Confirm Tessaro deposition date and hold expert-report exchange to the three-week-before-mediation deadline</w:t>
      </w:r>
    </w:p>
    <w:p>
      <w:pPr>
        <w:pStyle w:val="ListBullet"/>
      </w:pPr>
      <w:r>
        <w:t>Circulate proposed mediation date to Halden for sign-off</w:t>
      </w:r>
    </w:p>
    <w:p>
      <w:pPr>
        <w:pStyle w:val="ListBullet"/>
      </w:pPr>
      <w:r>
        <w:t>Send joint response to mediator's office once Halden confirms</w:t>
      </w:r>
    </w:p>
    <w:p>
      <w:pPr>
        <w:pStyle w:val="ListBullet"/>
      </w:pPr>
      <w:r>
        <w:t>Flag on Friday's docket call whether any dispositive motion deadline needs to be sequenced against this date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