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PRIVILEGED AND CONFIDENTIAL — ATTORNEY WORK PRODUCT</w:t>
      </w:r>
    </w:p>
    <w:tbl>
      <w:tblPr>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To:</w:t>
            </w:r>
          </w:p>
        </w:tc>
        <w:tc>
          <w:tcPr>
            <w:tcW w:type="dxa" w:w="4320"/>
          </w:tcPr>
          <w:p>
            <w:r>
              <w:t>Desmond Achebe</w:t>
            </w:r>
          </w:p>
        </w:tc>
      </w:tr>
      <w:tr>
        <w:tc>
          <w:tcPr>
            <w:tcW w:type="dxa" w:w="4320"/>
          </w:tcPr>
          <w:p>
            <w:r>
              <w:t>From:</w:t>
            </w:r>
          </w:p>
        </w:tc>
        <w:tc>
          <w:tcPr>
            <w:tcW w:type="dxa" w:w="4320"/>
          </w:tcPr>
          <w:p>
            <w:r>
              <w:t>Cecile Marchand, Partner, Litigation</w:t>
            </w:r>
          </w:p>
        </w:tc>
      </w:tr>
      <w:tr>
        <w:tc>
          <w:tcPr>
            <w:tcW w:type="dxa" w:w="4320"/>
          </w:tcPr>
          <w:p>
            <w:r>
              <w:t>Re:</w:t>
            </w:r>
          </w:p>
        </w:tc>
        <w:tc>
          <w:tcPr>
            <w:tcW w:type="dxa" w:w="4320"/>
          </w:tcPr>
          <w:p>
            <w:r>
              <w:t>Reserve Assessment — Tessaro v. Halden Orthopedics</w:t>
            </w:r>
          </w:p>
        </w:tc>
      </w:tr>
      <w:tr>
        <w:tc>
          <w:tcPr>
            <w:tcW w:type="dxa" w:w="4320"/>
          </w:tcPr>
          <w:p>
            <w:r>
              <w:t>Matter:</w:t>
            </w:r>
          </w:p>
        </w:tc>
        <w:tc>
          <w:tcPr>
            <w:tcW w:type="dxa" w:w="4320"/>
          </w:tcPr>
          <w:p>
            <w:r>
              <w:t>Halden Orthopedics — Tessaro Malpractice Defence</w:t>
            </w:r>
          </w:p>
        </w:tc>
      </w:tr>
    </w:tbl>
    <w:p>
      <w:pPr>
        <w:pStyle w:val="Heading2"/>
      </w:pPr>
      <w:r>
        <w:t>I. Purpose</w:t>
      </w:r>
    </w:p>
    <w:p>
      <w:r>
        <w:t>Desmond has asked for a current reserve assessment on the Tessaro matter, noting that this review is overdue notwithstanding earlier requests. This memorandum sets out my present evaluation of exposure, the basis for that evaluation, and a recommended reserve range. It supersedes any prior informal estimate given at intake.</w:t>
      </w:r>
    </w:p>
    <w:p>
      <w:pPr>
        <w:pStyle w:val="Heading2"/>
      </w:pPr>
      <w:r>
        <w:t>II. Procedural Posture</w:t>
      </w:r>
    </w:p>
    <w:p>
      <w:r>
        <w:t>The matter remains in the discovery phase. No dispositive motion has yet been filed on Halden's behalf. Plaintiff's expert disclosures are outstanding; Halden's responsive expert disclosure deadline follows thirty days after service of plaintiff's disclosures under the operative scheduling order. Fact discovery has not closed.</w:t>
      </w:r>
    </w:p>
    <w:p>
      <w:pPr>
        <w:pStyle w:val="Heading2"/>
      </w:pPr>
      <w:r>
        <w:t>III. Basis for Assessment</w:t>
      </w:r>
    </w:p>
    <w:p>
      <w:r>
        <w:t>This assessment rests on the pleadings, the treating-physician records produced to date, deposition testimony taken of the treating surgeon, and preliminary consultation with retained standard-of-care and causation consultants. I have not yet received plaintiff's expert reports, and the assessment below is necessarily provisional pending that disclosure; I flag that qualification because I am not sure the causation theory as currently pleaded survives contact with a properly framed summary judgment motion, but I cannot responsibly say so with confidence until the expert record is complete.</w:t>
      </w:r>
    </w:p>
    <w:p>
      <w:pPr>
        <w:pStyle w:val="Heading2"/>
      </w:pPr>
      <w:r>
        <w:t>IV. Liability Exposure</w:t>
      </w:r>
    </w:p>
    <w:p>
      <w:pPr>
        <w:pStyle w:val="ListNumber"/>
      </w:pPr>
      <w:r>
        <w:t>Standard of care: the treatment record supports a defensible position that the surgical approach was within accepted practice at the time; this is a triable issue rather than a clear defense verdict.</w:t>
      </w:r>
    </w:p>
    <w:p>
      <w:pPr>
        <w:pStyle w:val="ListNumber"/>
      </w:pPr>
      <w:r>
        <w:t>Causation: plaintiff's damages theory depends on a causal link between the alleged deviation and the subsequent revision surgery. The temporal gap between the index procedure and the revision (approximately fourteen months) is a genuine vulnerability in plaintiff's causation theory, but it is not dispositive absent a defense causation expert prepared to say so affirmatively.</w:t>
      </w:r>
    </w:p>
    <w:p>
      <w:pPr>
        <w:pStyle w:val="ListNumber"/>
      </w:pPr>
      <w:r>
        <w:t>Comparative fault: there is colorable evidence of the patient's noncompliance with post-operative restrictions, which may support an apportionment argument but is unlikely to defeat liability outright.</w:t>
      </w:r>
    </w:p>
    <w:p>
      <w:pPr>
        <w:pStyle w:val="Heading2"/>
      </w:pPr>
      <w:r>
        <w:t>V. Damages Exposure</w:t>
      </w:r>
    </w:p>
    <w:p>
      <w:r>
        <w:t>Plaintiff has not yet served a formal damages disclosure or demand supported by a life-care plan. Based on the medical billing produced to date and the nature of the revision surgery, I estimate a plausible verdict range, if liability is found, of $450,000 to $1,100,000, inclusive of past medical specials, a modest future-care component, and non-economic damages consistent with venue history for comparable orthopedic revision cases. This range does not account for punitive exposure, which is not pleaded and which I do not believe is supportable on these facts.</w:t>
      </w:r>
    </w:p>
    <w:p>
      <w:pPr>
        <w:pStyle w:val="Heading2"/>
      </w:pPr>
      <w:r>
        <w:t>VI. Recommended Reserve</w:t>
      </w:r>
    </w:p>
    <w:p>
      <w:r>
        <w:t>Weighting the liability uncertainty described above against the damages range, I recommend a reserve of $350,000, reflecting a probability-weighted exposure estimate rather than a worst-case figure. This should be revisited promptly upon receipt of plaintiff's expert disclosures, and again following any ruling on a dispositive motion, should one be filed.</w:t>
      </w:r>
    </w:p>
    <w:p>
      <w:pPr>
        <w:pStyle w:val="Heading2"/>
      </w:pPr>
      <w:r>
        <w:t>VII. Next Steps</w:t>
      </w:r>
    </w:p>
    <w:p>
      <w:pPr>
        <w:pStyle w:val="ListNumber"/>
      </w:pPr>
      <w:r>
        <w:t>Await plaintiff's expert disclosures; assess causation opinion against the fourteen-month gap noted above.</w:t>
      </w:r>
    </w:p>
    <w:p>
      <w:pPr>
        <w:pStyle w:val="ListNumber"/>
      </w:pPr>
      <w:r>
        <w:t>Complete consultation with retained standard-of-care expert; obtain written preliminary opinion.</w:t>
      </w:r>
    </w:p>
    <w:p>
      <w:pPr>
        <w:pStyle w:val="ListNumber"/>
      </w:pPr>
      <w:r>
        <w:t>Revisit this reserve figure within fourteen days of receiving plaintiff's expert reports.</w:t>
      </w:r>
    </w:p>
    <w:p>
      <w:pPr>
        <w:pStyle w:val="ListNumber"/>
      </w:pPr>
      <w:r>
        <w:t>Evaluate viability of summary judgment on causation once the expert record is complete.</w:t>
      </w:r>
    </w:p>
    <w:p>
      <w:r>
        <w:t>I am available to discuss this assessment at the docket call or separately at your convenience.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