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t>To: Desmond Achebe, Claims</w:t>
      </w:r>
    </w:p>
    <w:p>
      <w:r>
        <w:t>From: Cecile Marchand, Litigation</w:t>
      </w:r>
    </w:p>
    <w:p>
      <w:r>
        <w:t>Re: Reserve Assessment — Tessaro v. Halden Orthopedics (professional liability defence)</w:t>
      </w:r>
    </w:p>
    <w:p>
      <w:r>
        <w:t>This memorandum responds to your request for a substantive reserve assessment in the above-referenced matter. It sets out the current procedural posture, the principal exposure drivers, and a recommended reserve range, with the qualifications the current record requires.</w:t>
      </w:r>
    </w:p>
    <w:p>
      <w:pPr>
        <w:pStyle w:val="Heading2"/>
      </w:pPr>
      <w:r>
        <w:t>1. Procedural Posture</w:t>
      </w:r>
    </w:p>
    <w:p>
      <w:r>
        <w:t>The matter remains in fact discovery. Plaintiff's expert disclosures are not yet due, and no dispositive motion practice has occurred. Dr. Tessaro's deposition has not been taken. I note this at the outset because any reserve figure set before expert disclosure necessarily rests on the pleadings and the treating records reviewed to date, not on a tested theory of causation or standard of care.</w:t>
      </w:r>
    </w:p>
    <w:p>
      <w:pPr>
        <w:pStyle w:val="Heading2"/>
      </w:pPr>
      <w:r>
        <w:t>2. Exposure Drivers</w:t>
      </w:r>
    </w:p>
    <w:p>
      <w:pPr>
        <w:pStyle w:val="ListNumber"/>
      </w:pPr>
      <w:r>
        <w:t>Standard of care: the operative note and post-operative imaging are, on their face, consistent with an accepted surgical approach; whether they remain so once plaintiff's expert has reviewed them is a separate question, and I am not sure the current defense narrative survives contact with a well-prepared standard-of-care expert on the informed consent issue specifically.</w:t>
      </w:r>
    </w:p>
    <w:p>
      <w:pPr>
        <w:pStyle w:val="ListNumber"/>
      </w:pPr>
      <w:r>
        <w:t>Causation: the intervening fall approximately six weeks post-surgery complicates plaintiff's causation theory materially. This is, at present, the strongest single point in the defense's favor, and I would weight it accordingly in any reserve model.</w:t>
      </w:r>
    </w:p>
    <w:p>
      <w:pPr>
        <w:pStyle w:val="ListNumber"/>
      </w:pPr>
      <w:r>
        <w:t>Damages: plaintiff's counsel has signaled a claim for revision surgery and permanent partial disability; no life-care plan has been served. Absent that plan, any damages figure in the reserve is necessarily an estimate built on comparable verdicts and settlements, not on plaintiff-specific documentation.</w:t>
      </w:r>
    </w:p>
    <w:p>
      <w:pPr>
        <w:pStyle w:val="ListNumber"/>
      </w:pPr>
      <w:r>
        <w:t>Venue and jury composition: this venue's recent verdict history in comparable orthopedic malpractice matters trends higher than the state average; that should inform the upper end of the range more than the lower.</w:t>
      </w:r>
    </w:p>
    <w:p>
      <w:pPr>
        <w:pStyle w:val="Heading2"/>
      </w:pPr>
      <w:r>
        <w:t>3. Recommended Reserve Range</w:t>
      </w:r>
    </w:p>
    <w:p>
      <w:r>
        <w:t>Given the above, I recommend a reserve range of $350,000 to $650,000 at this stage, with the midpoint reflecting the intervening-fall causation issue weighed against venue risk. I recommend revisiting this figure promptly upon (a) receipt of plaintiff's life-care plan, and (b) exchange of expert disclosures, either of which may move the range meaningfully in either direction.</w:t>
      </w:r>
    </w:p>
    <w:p>
      <w:pPr>
        <w:pStyle w:val="Heading2"/>
      </w:pPr>
      <w:r>
        <w:t>4. Qualifications</w:t>
      </w:r>
    </w:p>
    <w:p>
      <w:r>
        <w:t>This assessment is based on the pleadings, the treating records produced to date, and counsel's assessment of venue history; it does not reflect any expert opinion, deposition testimony, or a completed damages analysis, none of which yet exists in this matter. It should be treated as provisional and revisited on the schedule noted above.</w:t>
      </w:r>
    </w:p>
    <w:p>
      <w:pPr>
        <w:pStyle w:val="Heading2"/>
      </w:pPr>
      <w:r>
        <w:t>5. Update Since Initial Assessment</w:t>
      </w:r>
    </w:p>
    <w:p>
      <w:r>
        <w:t>As of this update, neither triggering event identified in Section 3 has occurred: plaintiff's life-care plan has not been served, and expert disclosures have not been exchanged. Dr. Tessaro's deposition also remains unscheduled. Accordingly, the exposure analysis in Section 2 and the recommended range in Section 3 stand unchanged; I do not have a basis in the current record to move the figure in either direction, and I would caution against doing so on anything short of one of those two developments.</w:t>
      </w:r>
    </w:p>
    <w:p>
      <w:r>
        <w:t>I will circulate a revised assessment promptly upon receipt of the life-care plan or expert disclosures, whichever comes first, and in any event before the next scheduled reserve review.</w:t>
      </w:r>
    </w:p>
    <w:p>
      <w:r>
        <w:t>Please let me know if the claims committee would find it useful to walk through the causation issue in more detail before the next reserve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