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w:t>
            </w:r>
          </w:p>
        </w:tc>
      </w:tr>
      <w:tr>
        <w:tc>
          <w:tcPr>
            <w:tcW w:type="dxa" w:w="4320"/>
          </w:tcPr>
          <w:p>
            <w:r>
              <w:t>From</w:t>
            </w:r>
          </w:p>
        </w:tc>
        <w:tc>
          <w:tcPr>
            <w:tcW w:type="dxa" w:w="4320"/>
          </w:tcPr>
          <w:p>
            <w:r>
              <w:t>Noor Haddad</w:t>
            </w:r>
          </w:p>
        </w:tc>
      </w:tr>
      <w:tr>
        <w:tc>
          <w:tcPr>
            <w:tcW w:type="dxa" w:w="4320"/>
          </w:tcPr>
          <w:p>
            <w:r>
              <w:t>Re</w:t>
            </w:r>
          </w:p>
        </w:tc>
        <w:tc>
          <w:tcPr>
            <w:tcW w:type="dxa" w:w="4320"/>
          </w:tcPr>
          <w:p>
            <w:r>
              <w:t>Enforceability of the Choice-of-Law Provision — Open Question from Case Strategy Review</w:t>
            </w:r>
          </w:p>
        </w:tc>
      </w:tr>
      <w:tr>
        <w:tc>
          <w:tcPr>
            <w:tcW w:type="dxa" w:w="4320"/>
          </w:tcPr>
          <w:p>
            <w:r>
              <w:t>Status</w:t>
            </w:r>
          </w:p>
        </w:tc>
        <w:tc>
          <w:tcPr>
            <w:tcW w:type="dxa" w:w="4320"/>
          </w:tcPr>
          <w:p>
            <w:r>
              <w:t>Draft for Attorney Review</w:t>
            </w:r>
          </w:p>
        </w:tc>
      </w:tr>
    </w:tbl>
    <w:p>
      <w:pPr>
        <w:pStyle w:val="Heading2"/>
      </w:pPr>
      <w:r>
        <w:t>Question Presented</w:t>
      </w:r>
    </w:p>
    <w:p>
      <w:r>
        <w:t>Whether a Delaware court applying Delaware choice-of-law rules will enforce the contractual selection of Delaware law in the underlying agreement, where the contract was negotiated and largely performed in Ohio and the plaintiff argues that Ohio's materially different statute of limitations should govern instead.</w:t>
      </w:r>
    </w:p>
    <w:p>
      <w:pPr>
        <w:pStyle w:val="Heading2"/>
      </w:pPr>
      <w:r>
        <w:t>Short Answer</w:t>
      </w:r>
    </w:p>
    <w:p>
      <w:r>
        <w:t>Likely yes, but the answer is closer than our working assumption. Delaware courts generally honor contractual choice-of-law clauses so long as the chosen state bears a reasonable relationship to the transaction and enforcement would not violate a fundamental policy of a state with a materially greater interest. This may be nothing, but the case law is not as uniformly favorable as the outline assumed, and I want to flag the split before we build the summary-judgment argument on it.</w:t>
      </w:r>
    </w:p>
    <w:p>
      <w:pPr>
        <w:pStyle w:val="Heading2"/>
      </w:pPr>
      <w:r>
        <w:t>Background</w:t>
      </w:r>
    </w:p>
    <w:p>
      <w:r>
        <w:t>The agreement at issue contains a Delaware choice-of-law clause. The company that is a party to the agreement is a Delaware entity, but negotiation, signing, and performance occurred substantially in Ohio. Opposing counsel has signaled it will argue that Ohio law governs the limitations period for the breach claim, which would extend the limitations window materially in plaintiff's favor. The open question, per the litigation team's outline, is whether Delaware's choice-of-law analysis will hold under that pressure or whether Ohio's interest is strong enough to displace it.</w:t>
      </w:r>
    </w:p>
    <w:p>
      <w:pPr>
        <w:pStyle w:val="Heading2"/>
      </w:pPr>
      <w:r>
        <w:t>Analysis</w:t>
      </w:r>
    </w:p>
    <w:p>
      <w:pPr>
        <w:pStyle w:val="Heading3"/>
      </w:pPr>
      <w:r>
        <w:t>1. Delaware Applies Section 187 of the Restatement (Second) of Conflict of Laws</w:t>
      </w:r>
    </w:p>
    <w:p>
      <w:r>
        <w:t>Delaware courts follow the Restatement (Second) approach to contractual choice-of-law clauses. See Abry Partners V, L.P. v. F &amp; W Acquisition LLC, 891 A.2d 1032, 1049 (Del. Ch. 2006) (applying Restatement Section 187 and enforcing a Delaware choice-of-law clause where the contract bore a reasonable relationship to Delaware through the parties' corporate formation there). Under Section 187, a chosen state's law governs unless (a) the chosen state has no substantial relationship to the parties or transaction and no other reasonable basis exists for the choice, or (b) applying the chosen law would be contrary to a fundamental policy of a state with a materially greater interest in the issue, and that state's law would apply absent the choice-of-law clause.</w:t>
      </w:r>
    </w:p>
    <w:p>
      <w:pPr>
        <w:pStyle w:val="Heading3"/>
      </w:pPr>
      <w:r>
        <w:t>2. Delaware Incorporation Alone Has Been Treated as a Reasonable Relationship</w:t>
      </w:r>
    </w:p>
    <w:p>
      <w:r>
        <w:t>The company's Delaware incorporation is likely sufficient, standing alone, to satisfy the 'reasonable relationship' prong. See J.S. Alberici Constr. Co. v. Mid-West Conveyor Co., 750 A.2d 518, 520 (Del. 2000) (state of incorporation constitutes a reasonable relationship for choice-of-law purposes even where performance occurred elsewhere). This is the strongest single point in our favor and should anchor the memo's recommendation.</w:t>
      </w:r>
    </w:p>
    <w:p>
      <w:pPr>
        <w:pStyle w:val="Heading3"/>
      </w:pPr>
      <w:r>
        <w:t>3. The Fundamental-Policy Exception Is Where the Real Risk Lives</w:t>
      </w:r>
    </w:p>
    <w:p>
      <w:r>
        <w:t>The harder question is the second prong: whether applying Delaware's limitations period would offend a fundamental policy of Ohio, given that Ohio would otherwise govern and its interest in the transaction (negotiation, performance, and the plaintiff's residence) is substantial. Delaware courts have been willing to override a choice-of-law clause on this basis where the competing state's law reflects a strong regulatory or public-policy interest, not merely a different limitations period. Compare Ascension Ins. Holdings, LLC v. Underwood, 2015 WL 356002, at *3 (Del. Ch. Jan. 28, 2015) (enforcing Delaware choice-of-law clause despite California's interest, because California's competing policy was not sufficiently fundamental to override the parties' contractual choice), with Deuley v. DynCorp Int'l, Inc., 2010 WL 704895, at *3 (Del. Super. Feb. 26, 2010) (noting that a state's statute of limitations is ordinarily treated as procedural rather than a fundamental substantive policy for choice-of-law purposes, which cuts in favor of enforcing the Delaware clause here).</w:t>
      </w:r>
    </w:p>
    <w:p>
      <w:r>
        <w:t>This may be nothing, but I want to be direct about the risk: if opposing counsel can characterize Ohio's limitations rule as substantive and tied to a strong consumer- or employee-protection policy — rather than a garden-variety procedural time bar — the fundamental-policy exception becomes a live argument rather than a formality. I have not yet located an Ohio case that frames its limitations period in those terms for a commercial contract dispute of this kind, which is a point in our favor, but I have not exhausted Ohio authority and flag that as an open task below.</w:t>
      </w:r>
    </w:p>
    <w:p>
      <w:pPr>
        <w:pStyle w:val="Heading3"/>
      </w:pPr>
      <w:r>
        <w:t>4. Limitations Periods Are Generally Treated as Procedural</w:t>
      </w:r>
    </w:p>
    <w:p>
      <w:r>
        <w:t>Separately, and providing an independent basis for our position, Delaware treats statutes of limitations as procedural for conflict-of-laws purposes in most contexts, meaning the forum's own limitations rules — or the rules of the chosen law under the parties' clause — will often apply regardless of which state's substantive law governs the merits. See Saudi Basic Indus. Corp. v. Mobil Yanbu Petrochemical Co., 866 A.2d 1, 18 (Del. 2005) (statutes of limitations are procedural and generally governed by the law of the forum). This gives us a second line of argument that does not depend on winning the fundamental-policy question outright.</w:t>
      </w:r>
    </w:p>
    <w:p>
      <w:pPr>
        <w:pStyle w:val="Heading2"/>
      </w:pPr>
      <w:r>
        <w:t>Recommendation</w:t>
      </w:r>
    </w:p>
    <w:p>
      <w:r>
        <w:t>The weight of Delaware authority favors enforcing the Delaware choice-of-law clause, primarily on the incorporation-based 'reasonable relationship' ground (Alberici) and the procedural characterization of limitations periods (Saudi Basic). I recommend we brief both grounds independently rather than relying solely on the fundamental-policy analysis, since that prong is the one place the case law leaves room for the other side. I would also recommend confirming there is no on-point Ohio authority characterizing its limitations period as substantive public policy before we finalize the summary-judgment brief — I have not completed that search and did not want to represent the research as closed.</w:t>
      </w:r>
    </w:p>
    <w:p>
      <w:pPr>
        <w:pStyle w:val="Heading2"/>
      </w:pPr>
      <w:r>
        <w:t>Open Items</w:t>
      </w:r>
    </w:p>
    <w:p>
      <w:pPr>
        <w:pStyle w:val="ListNumber"/>
      </w:pPr>
      <w:r>
        <w:t>Complete search of Ohio case law for any characterization of the relevant limitations period as substantive/fundamental policy rather than procedural.</w:t>
      </w:r>
    </w:p>
    <w:p>
      <w:pPr>
        <w:pStyle w:val="ListNumber"/>
      </w:pPr>
      <w:r>
        <w:t>Confirm whether the agreement's negotiation history includes any express statements about the parties' intent behind the Delaware choice-of-law clause (may bolster the 'reasonable relationship' argument).</w:t>
      </w:r>
    </w:p>
    <w:p>
      <w:pPr>
        <w:pStyle w:val="ListNumber"/>
      </w:pPr>
      <w:r>
        <w:t>Check for more recent Delaware Court of Chancery or Superior Court decisions post-2015 addressing Section 187's fundamental-policy exception in the limitations-period context specifically.</w:t>
      </w:r>
    </w:p>
    <w:p>
      <w:pPr>
        <w:pStyle w:val="Heading2"/>
      </w:pPr>
      <w:r>
        <w:t>Status Note</w:t>
      </w:r>
    </w:p>
    <w:p>
      <w:r>
        <w:t>End-of-day status: this may be nothing, but I want to be clear that the analysis above is not yet final. The Ohio caselaw search referenced in Section 3 and Open Item 1 is still outstanding, and I have not confirmed there is no on-point Ohio authority characterizing its limitations period as substantive policy. Until that search is complete, and Open Items 2 and 3 are resolved, I'd treat the Recommendation as our working position rather than a closed conclusion. Holding the memo at Draft for Attorney Review status pending that follow-up.</w:t>
      </w:r>
    </w:p>
    <w:p>
      <w:r>
        <w:t>Addendum: Today's other work (Sable Ridge tracker creation, privilege log and batch status updates on doc-000045 and doc-000029, and the deposition summary status note on doc-000002), together with today's Harrow sourcing confirmation with Petra and the related Sable Ridge witness/exhibit list cross-check (Ex. 17 custodian note and Ulrich/Sandhurst holdout, both now closed), did not surface any Ohio authority, any negotiation-history facts, or any citation issue bearing on this memo. This may be nothing, but I did not want to advance Sections 3-4 or the Recommendation on unverified assumptions, so the Open Items above remain unchanged and outstanding.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