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Position Memo: Scope of Docket Management Over Ownership-Escalation-Boundary Questions</w:t>
      </w:r>
    </w:p>
    <w:p>
      <w:r>
        <w:t>To: Bennett</w:t>
      </w:r>
    </w:p>
    <w:p>
      <w:r>
        <w:t>From: Thandiwe Mokoena, Docket &amp; Calendar Manager</w:t>
      </w:r>
    </w:p>
    <w:p>
      <w:r>
        <w:t>Re: Whether ownership-escalation-boundary questions fall within docket management's scope</w:t>
      </w:r>
    </w:p>
    <w:p>
      <w:pPr>
        <w:pStyle w:val="Heading2"/>
      </w:pPr>
      <w:r>
        <w:t>Status</w:t>
      </w:r>
    </w:p>
    <w:p>
      <w:r>
        <w:t>Pending: awaiting Bennett's written confirmation of the boundary set out below. Until confirmed, each new ownership-ambiguous entry continues to be escalated individually per the pattern described here, rather than resolved automatically against a standing rule.</w:t>
      </w:r>
    </w:p>
    <w:p>
      <w:pPr>
        <w:pStyle w:val="Heading2"/>
      </w:pPr>
      <w:r>
        <w:t>Question Presented</w:t>
      </w:r>
    </w:p>
    <w:p>
      <w:r>
        <w:t>When a docket entry's owner goes unresponsive and a deadline is approaching, does deciding who owns the follow-up fall within docket management's scope, or does it belong exclusively to matter ownership (Bennett or the responsible attorney)?</w:t>
      </w:r>
    </w:p>
    <w:p>
      <w:pPr>
        <w:pStyle w:val="Heading2"/>
      </w:pPr>
      <w:r>
        <w:t>Short Answer</w:t>
      </w:r>
    </w:p>
    <w:p>
      <w:r>
        <w:t>No. Docket management's scope ends at identifying the deadline, identifying the unresponsive contact, and escalating with a stated cutoff. Deciding who ultimately owns the substantive follow-up is a matter-ownership call, not a docket call. This memo asks Bennett to confirm that boundary in writing so it can be applied consistently rather than escalated case by case.</w:t>
      </w:r>
    </w:p>
    <w:p>
      <w:pPr>
        <w:pStyle w:val="Heading2"/>
      </w:pPr>
      <w:r>
        <w:t>Recent Pattern</w:t>
      </w:r>
    </w:p>
    <w:p>
      <w:pPr>
        <w:pStyle w:val="ListBullet"/>
      </w:pPr>
      <w:r>
        <w:t>Unidentified docket entry (related-party conflicts memo tie): Lucien could not confirm or deny the connection by the stated EOD deadline (0 days remaining at time of escalation). Escalated to Bennett; entry pulled from active tracking per Bennett's final call.</w:t>
      </w:r>
    </w:p>
    <w:p>
      <w:pPr>
        <w:pStyle w:val="ListBullet"/>
      </w:pPr>
      <w:r>
        <w:t>Ardmore Elevator good standing filing: Ingrid and Samir went unanswered on confirmation of filing ownership. Escalated to Bennett with a 3:30pm deadline, ahead of the 4pm filing cutoff, per Lucien's suggested approach.</w:t>
      </w:r>
    </w:p>
    <w:p>
      <w:pPr>
        <w:pStyle w:val="ListBullet"/>
      </w:pPr>
      <w:r>
        <w:t>Sable Ridge Position Statement sign-off: closed by Bennett as Jamal self-approves, no second reviewer required — a related but distinct question of who signs off, not who owns follow-up.</w:t>
      </w:r>
    </w:p>
    <w:p>
      <w:r>
        <w:t>In each case, the docket function performed the same steps: calendar the deadline from the governing source (the court's docket text, not an attorney's characterization of it, since the two diverge roughly twice a month), identify that the responsible contact was unresponsive, set or restate a cutoff ahead of the true deadline, and escalate. In none of these cases did docket management decide who should own the substantive response — that determination was made by Bennett each time.</w:t>
      </w:r>
    </w:p>
    <w:p>
      <w:pPr>
        <w:pStyle w:val="Heading2"/>
      </w:pPr>
      <w:r>
        <w:t>Position</w:t>
      </w:r>
    </w:p>
    <w:p>
      <w:pPr>
        <w:pStyle w:val="ListNumber"/>
      </w:pPr>
      <w:r>
        <w:t>Docket management owns the deadline: calendaring it correctly from the governing source, tracking days remaining, and stating both in every reminder.</w:t>
      </w:r>
    </w:p>
    <w:p>
      <w:pPr>
        <w:pStyle w:val="ListNumber"/>
      </w:pPr>
      <w:r>
        <w:t>Docket management owns the escalation trigger: defining when non-response converts a routine reminder into an escalation, and setting an internal cutoff ahead of the actual deadline so there is time to act.</w:t>
      </w:r>
    </w:p>
    <w:p>
      <w:pPr>
        <w:pStyle w:val="ListNumber"/>
      </w:pPr>
      <w:r>
        <w:t>Docket management does not own the ownership decision itself: whether a given entry belongs to a particular attorney, whether it ties to another matter, or who signs off on a document is a substantive judgment reserved to matter ownership.</w:t>
      </w:r>
    </w:p>
    <w:p>
      <w:pPr>
        <w:pStyle w:val="ListNumber"/>
      </w:pPr>
      <w:r>
        <w:t>When an entry's ownership is ambiguous and the responsible contact is unresponsive by the internal cutoff, the entry is escalated to Bennett for a final call and, absent confirmation, is pulled from active tracking rather than left open on an assumption.</w:t>
      </w:r>
    </w:p>
    <w:p>
      <w:pPr>
        <w:pStyle w:val="Heading2"/>
      </w:pPr>
      <w:r>
        <w:t>Requested Action</w:t>
      </w:r>
    </w:p>
    <w:p>
      <w:r>
        <w:t>Confirm this boundary as the standing rule, so future ownership-ambiguous entries are escalated on this basis without requiring a fresh determination each time. Quarterly escalation frequency data is being pulled per Adaora's request (due EOD tomorrow) to inform whether a firmwide default-ownership rule is also warranted; this memo addresses only docket management's own scope and does not depend on that data.</w:t>
      </w:r>
    </w:p>
    <w:p>
      <w:pPr>
        <w:pStyle w:val="Heading2"/>
      </w:pPr>
      <w:r>
        <w:t>Next Steps</w:t>
      </w:r>
    </w:p>
    <w:p>
      <w:pPr>
        <w:pStyle w:val="ListBullet"/>
      </w:pPr>
      <w:r>
        <w:t>Bennett to confirm or revise the boundary stated above.</w:t>
      </w:r>
    </w:p>
    <w:p>
      <w:pPr>
        <w:pStyle w:val="ListBullet"/>
      </w:pPr>
      <w:r>
        <w:t>Once confirmed, the rule will be applied at the daily docket sync (standing sync covering court deadlines and calendar changes) without escalating each ownership-ambiguous entry individually.</w:t>
      </w:r>
    </w:p>
    <w:p>
      <w:pPr>
        <w:pStyle w:val="ListBullet"/>
      </w:pPr>
      <w:r>
        <w:t>Adaora's quarterly escalation frequency pull (due EOD tomorrow) will be circulated separately and referenced here if it prompts any firmwide default-ownership rule that would supersede or supplement this scope determination.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