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Linden Robotics / Fairmont OEM Licence — IP Schedule Review Memorandum</w:t>
      </w:r>
    </w:p>
    <w:p>
      <w:r>
        <w:t>Prepared by: Klara Bendtsen, Senior Associate, IP &amp; Technology. This memorandum sets out the results of the review of the IP schedule to the Fairmont OEM Licence, including the Section 2.4/2.3 conflict analysis now confirmed with Oskar, the related Section 4 IP-ownership action item, the newly added Section 6 data-processing subsection, and licence-grant/indemnity-cap terms under Section 2. This pass supersedes the prior draft to the extent inconsistent and covers the full schedule as redlined to date.</w:t>
      </w:r>
    </w:p>
    <w:p>
      <w:pPr>
        <w:pStyle w:val="Heading2"/>
      </w:pPr>
      <w:r>
        <w:t>1. Scope of This Review</w:t>
      </w:r>
    </w:p>
    <w:p>
      <w:r>
        <w:t>This review addresses five areas of the Fairmont OEM Licence IP schedule: (a) the Section 2.4/2.3 conflict identified during the ownership walkthrough; (b) the Section 4 IP-ownership action item and its resulting redline; (c) the newly drafted Section 6 data-processing terms; (d) licence-grant and indemnity-cap terms under Section 2, including the fallback structure for indemnification caps in the OEM context; and (e) open items requiring partner sign-off before the redline is sent to Fairmont. It does not cover the supplier renewal review (pricing mechanics, liability caps, indemnification scope), which is being tracked as a separate workstream pending source materials from Yuki.</w:t>
      </w:r>
    </w:p>
    <w:p>
      <w:pPr>
        <w:pStyle w:val="Heading2"/>
      </w:pPr>
      <w:r>
        <w:t>2. Section 2.4 / 2.3 Conflict Analysis</w:t>
      </w:r>
    </w:p>
    <w:p>
      <w:r>
        <w:t>New Section 2.4 was drafted to clarify Linden's retained ownership of pre-existing background IP incorporated into the licensed products. On review, Section 2.4 as originally drafted overlapped with, and in one respect contradicted, the field-of-use limitation in Section 2.3. Section 2.3 restricts Fairmont's licence to use of Linden IP solely within the OEM manufacturing field; Section 2.4, as first drafted, granted Fairmont a broader right to "use, modify, and sublicense" background IP without the same field restriction.</w:t>
      </w:r>
    </w:p>
    <w:p>
      <w:r>
        <w:t>Confirmed with Oskar: the intent was never to carve out background IP from the Section 2.3 field-of-use restriction. The conflict is a drafting artifact of adding Section 2.4 without cross-referencing 2.3, not a negotiated departure from the field limitation.</w:t>
      </w:r>
    </w:p>
    <w:p>
      <w:r>
        <w:t>Resolution redlined into the licence: Section 2.4 now expressly incorporates the Section 2.3 field-of-use restriction by cross-reference ("subject to the field-of-use limitations set forth in Section 2.3"), and the sublicense right in 2.4 has been narrowed to sublicensing to Fairmont's approved contract manufacturers only, consistent with the existing contract-manufacturer consent regime referenced in Section 6. This removes the daylight between the two sections without reopening the substance of either.</w:t>
      </w:r>
    </w:p>
    <w:p>
      <w:pPr>
        <w:pStyle w:val="ListBullet"/>
      </w:pPr>
      <w:r>
        <w:t>careful here — the narrowed sublicense right in 2.4 has a knock-on effect on the Section 4 ownership carve-back; confirm the cross-reference in Section 4 to "Section 2.4 sublicensees" still reads correctly post-redline</w:t>
      </w:r>
    </w:p>
    <w:p>
      <w:pPr>
        <w:pStyle w:val="ListBullet"/>
      </w:pPr>
      <w:r>
        <w:t>Oskar has confirmed the fix is captured; no further substantive negotiation expected on 2.3/2.4 absent Fairmont pushback</w:t>
      </w:r>
    </w:p>
    <w:p>
      <w:pPr>
        <w:pStyle w:val="Heading2"/>
      </w:pPr>
      <w:r>
        <w:t>3. Section 2 — Licence Grant and Indemnity-Cap Fallback Structure</w:t>
      </w:r>
    </w:p>
    <w:p>
      <w:r>
        <w:t>In connection with finalizing the licence-grant language in Section 2, the indemnification cap tied to Linden's IP infringement indemnity to Fairmont has been reviewed against the firm's general fallback approach for OEM licensing arrangements. The structure considered is a three-tier ladder: (i) an opening cap of one times annual licence fees; (ii) a first fallback of two times annual licence fees, paired with a carve-out for a specified category of claim; and (iii) an outer fallback of uncapped liability, limited solely to IP infringement claims arising from Linden's background IP or licensed IP as such (not extending to consequential or unrelated damages).</w:t>
      </w:r>
    </w:p>
    <w:p>
      <w:r>
        <w:t>This ladder has not yet been proposed to Fairmont. It is recorded here as the negotiating framework to be used if Fairmont pushes back on the cap currently drafted into Section 2, so that any concession follows the sequence above rather than being improvised in real time.</w:t>
      </w:r>
    </w:p>
    <w:p>
      <w:pPr>
        <w:pStyle w:val="ListBullet"/>
      </w:pPr>
      <w:r>
        <w:t>careful here — do not lead with the uncapped fallback; the one-times-fees position should be the opening ask, with the two-times/carve-out tier as the first real concession</w:t>
      </w:r>
    </w:p>
    <w:p>
      <w:pPr>
        <w:pStyle w:val="ListBullet"/>
      </w:pPr>
      <w:r>
        <w:t>Flagged for partner sign-off: whether the outer uncapped fallback (tier iii) is authorized for this deal given Linden's platform-IP retention preference noted in Section 4 below</w:t>
      </w:r>
    </w:p>
    <w:p>
      <w:pPr>
        <w:pStyle w:val="Heading2"/>
      </w:pPr>
      <w:r>
        <w:t>4. Section 4 — IP Ownership Action Item</w:t>
      </w:r>
    </w:p>
    <w:p>
      <w:r>
        <w:t>The Section 4 IP-ownership action item flagged in the prior review pass is captured and has been redlined into the licence. The redline clarifies that improvements to licensed IP developed solely by Fairmont during the term remain Fairmont's property, while improvements developed jointly, or by Linden personnel embedded under the manufacturing arrangement, remain Linden's property or are jointly owned as specified. This redline is linked to the related changes in Sections 2.1 and 2.3 (field-of-use and background IP definitions) so that the ownership allocation in Section 4 tracks the scope of what is actually licensed under 2.1/2.3, rather than being drafted in isolation.</w:t>
      </w:r>
    </w:p>
    <w:p>
      <w:r>
        <w:t>Open item — flagged for partner sign-off: whether the joint-ownership fallback in Section 4(c) should instead default to sole Linden ownership with a royalty-free licence back to Fairmont, consistent with the firm's general preference in OEM arrangements where Linden retains platform IP. This has not been resolved and should not go out to Fairmont until a partner has signed off on the position.</w:t>
      </w:r>
    </w:p>
    <w:p>
      <w:pPr>
        <w:pStyle w:val="Heading2"/>
      </w:pPr>
      <w:r>
        <w:t>5. Section 6 — New Data-Processing Terms Subsection</w:t>
      </w:r>
    </w:p>
    <w:p>
      <w:r>
        <w:t>A new subsection has been added to Section 6 to address data flows between Fairmont and Linden arising from the OEM relationship. The subsection covers:</w:t>
      </w:r>
    </w:p>
    <w:p>
      <w:pPr>
        <w:pStyle w:val="ListNumber"/>
      </w:pPr>
      <w:r>
        <w:t>Scope of data processed — limited to production, quality-assurance, and warranty-service data generated in connection with the licensed products; excludes Fairmont's own customer data except where incidentally captured in warranty claims.</w:t>
      </w:r>
    </w:p>
    <w:p>
      <w:pPr>
        <w:pStyle w:val="ListNumber"/>
      </w:pPr>
      <w:r>
        <w:t>Purpose limitation — data may be used only for the purposes of performing the licence, quality monitoring, and regulatory compliance; no secondary use for Fairmont's or Linden's independent product development without separate written consent.</w:t>
      </w:r>
    </w:p>
    <w:p>
      <w:pPr>
        <w:pStyle w:val="ListNumber"/>
      </w:pPr>
      <w:r>
        <w:t>Data location / transfer restrictions — processing and storage restricted to jurisdictions specified in the schedule; cross-border transfer permitted only under an approved transfer mechanism.</w:t>
      </w:r>
    </w:p>
    <w:p>
      <w:pPr>
        <w:pStyle w:val="ListNumber"/>
      </w:pPr>
      <w:r>
        <w:t>Breach notification — Fairmont must notify Linden without undue delay, and in any event within 72 hours of discovery, of any security incident affecting the data described above.</w:t>
      </w:r>
    </w:p>
    <w:p>
      <w:pPr>
        <w:pStyle w:val="ListNumber"/>
      </w:pPr>
      <w:r>
        <w:t>Subprocessor flow-down — any subprocessor engaged by Fairmont to process the data must be bound by terms no less protective than this subsection, and subprocessor engagement is tied to the existing contract-manufacturer consent regime, i.e., a subprocessor may not be engaged unless it is also an approved contract manufacturer or has been separately approved by Linden.</w:t>
      </w:r>
    </w:p>
    <w:p>
      <w:r>
        <w:t>Open item — flagged for partner review: data-residency preferences. The current draft leaves the list of approved processing jurisdictions blank pending confirmation of Linden's preferred residency position (single jurisdiction vs. an approved list). This should be resolved before the redline is circulated to Fairmont, as it affects both the location-restriction language and the subprocessor flow-down mechanics.</w:t>
      </w:r>
    </w:p>
    <w:p>
      <w:pPr>
        <w:pStyle w:val="Heading2"/>
      </w:pPr>
      <w:r>
        <w:t>6. Summary of Open Items Requiring Partner Sign-Off</w:t>
      </w:r>
    </w:p>
    <w:tbl>
      <w:tblPr>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Open Item</w:t>
            </w:r>
          </w:p>
        </w:tc>
        <w:tc>
          <w:tcPr>
            <w:tcW w:type="dxa" w:w="2880"/>
          </w:tcPr>
          <w:p>
            <w:r>
              <w:t>Status</w:t>
            </w:r>
          </w:p>
        </w:tc>
      </w:tr>
      <w:tr>
        <w:tc>
          <w:tcPr>
            <w:tcW w:type="dxa" w:w="2880"/>
          </w:tcPr>
          <w:p>
            <w:r>
              <w:t>2.3 / 2.4</w:t>
            </w:r>
          </w:p>
        </w:tc>
        <w:tc>
          <w:tcPr>
            <w:tcW w:type="dxa" w:w="2880"/>
          </w:tcPr>
          <w:p>
            <w:r>
              <w:t>Cross-reference from Section 4 ownership carve-back to narrowed 2.4 sublicense right</w:t>
            </w:r>
          </w:p>
        </w:tc>
        <w:tc>
          <w:tcPr>
            <w:tcW w:type="dxa" w:w="2880"/>
          </w:tcPr>
          <w:p>
            <w:r>
              <w:t>To confirm — low risk, drafting check only</w:t>
            </w:r>
          </w:p>
        </w:tc>
      </w:tr>
      <w:tr>
        <w:tc>
          <w:tcPr>
            <w:tcW w:type="dxa" w:w="2880"/>
          </w:tcPr>
          <w:p>
            <w:r>
              <w:t>2</w:t>
            </w:r>
          </w:p>
        </w:tc>
        <w:tc>
          <w:tcPr>
            <w:tcW w:type="dxa" w:w="2880"/>
          </w:tcPr>
          <w:p>
            <w:r>
              <w:t>Whether the uncapped IP-infringement fallback (outer tier of the indemnity-cap ladder) is authorized for this deal</w:t>
            </w:r>
          </w:p>
        </w:tc>
        <w:tc>
          <w:tcPr>
            <w:tcW w:type="dxa" w:w="2880"/>
          </w:tcPr>
          <w:p>
            <w:r>
              <w:t>Open — needs partner decision before any concession is offered</w:t>
            </w:r>
          </w:p>
        </w:tc>
      </w:tr>
      <w:tr>
        <w:tc>
          <w:tcPr>
            <w:tcW w:type="dxa" w:w="2880"/>
          </w:tcPr>
          <w:p>
            <w:r>
              <w:t>4</w:t>
            </w:r>
          </w:p>
        </w:tc>
        <w:tc>
          <w:tcPr>
            <w:tcW w:type="dxa" w:w="2880"/>
          </w:tcPr>
          <w:p>
            <w:r>
              <w:t>Whether Section 4(c) joint-ownership fallback should default to sole Linden ownership with licence-back</w:t>
            </w:r>
          </w:p>
        </w:tc>
        <w:tc>
          <w:tcPr>
            <w:tcW w:type="dxa" w:w="2880"/>
          </w:tcPr>
          <w:p>
            <w:r>
              <w:t>Open — needs partner decision before circulation</w:t>
            </w:r>
          </w:p>
        </w:tc>
      </w:tr>
      <w:tr>
        <w:tc>
          <w:tcPr>
            <w:tcW w:type="dxa" w:w="2880"/>
          </w:tcPr>
          <w:p>
            <w:r>
              <w:t>6 (new)</w:t>
            </w:r>
          </w:p>
        </w:tc>
        <w:tc>
          <w:tcPr>
            <w:tcW w:type="dxa" w:w="2880"/>
          </w:tcPr>
          <w:p>
            <w:r>
              <w:t>Data-residency preference — single jurisdiction vs. approved list</w:t>
            </w:r>
          </w:p>
        </w:tc>
        <w:tc>
          <w:tcPr>
            <w:tcW w:type="dxa" w:w="2880"/>
          </w:tcPr>
          <w:p>
            <w:r>
              <w:t>Open — needs partner decision before circulation</w:t>
            </w:r>
          </w:p>
        </w:tc>
      </w:tr>
    </w:tbl>
    <w:p>
      <w:pPr>
        <w:pStyle w:val="Heading2"/>
      </w:pPr>
      <w:r>
        <w:t>7. Next Steps</w:t>
      </w:r>
    </w:p>
    <w:p>
      <w:pPr>
        <w:pStyle w:val="ListBullet"/>
      </w:pPr>
      <w:r>
        <w:t>Route the open items in Section 6 above to the partner for sign-off before the redline goes to Fairmont, including authorization for the indemnity-cap fallback ladder in Section 2.</w:t>
      </w:r>
    </w:p>
    <w:p>
      <w:pPr>
        <w:pStyle w:val="ListBullet"/>
      </w:pPr>
      <w:r>
        <w:t>Once sign-off is received, finalize the consolidated redline (2.1, 2.3, 2.4, 4, and new Section 6 subsection) and prepare the explanatory note update for Gideon reflecting the 2.4/2.3 resolution.</w:t>
      </w:r>
    </w:p>
    <w:p>
      <w:pPr>
        <w:pStyle w:val="ListBullet"/>
      </w:pPr>
      <w:r>
        <w:t>Hold the indemnity-cap fallback sequence (one times fees / two times fees with carve-out / uncapped for IP infringement only) in reserve for negotiation; do not propose beyond tier (i) without partner authorization.</w:t>
      </w:r>
    </w:p>
    <w:p>
      <w:pPr>
        <w:pStyle w:val="ListBullet"/>
      </w:pPr>
      <w:r>
        <w:t>Supplier renewal review (pricing mechanics, liability caps, indemnification scope) tracked separately pending materials from Yuki; not part of this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