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Explanatory Note – Fairmont OEM Licence Agreement Redline</w:t>
      </w:r>
    </w:p>
    <w:p>
      <w:r>
        <w:t>This note summarizes the changes reflected in today's redline of the OEM Licence Agreement between Linden Robotics, Inc. ("Linden") and Fairmont Industrial Systems, Inc. ("Fairmont"), circulated for internal review prior to sending to Fairmont's counsel. It is organized by section, in the order the changes appear, and each item explains what changed and why.</w:t>
      </w:r>
    </w:p>
    <w:p>
      <w:pPr>
        <w:pStyle w:val="Heading2"/>
      </w:pPr>
      <w:r>
        <w:t>1. Grant of Licence (Section 2.1)</w:t>
      </w:r>
    </w:p>
    <w:p>
      <w:r>
        <w:t>Narrowed the field-of-use definition from "industrial automation applications" to "industrial automation applications for material handling and palletizing equipment." Fairmont's initial draft grant was broad enough to cover uses well outside the OEM relationship the parties actually negotiated, including potential competing product lines. This change ties the licence to the commercial deal Linden's business team described.</w:t>
      </w:r>
    </w:p>
    <w:p>
      <w:r>
        <w:t>careful here — the prior draft's field-of-use language, read literally, would have let Fairmont sublicense the core motion-control IP into adjacent verticals (e.g., automotive assembly) without Linden's consent. Flagging for partner review before this goes out.</w:t>
      </w:r>
    </w:p>
    <w:p>
      <w:pPr>
        <w:pStyle w:val="Heading2"/>
      </w:pPr>
      <w:r>
        <w:t>2. Exclusivity Carve-Out (Section 2.3, new)</w:t>
      </w:r>
    </w:p>
    <w:p>
      <w:r>
        <w:t>Added a new subsection reserving Linden's right to license the same technology to Fairmont's direct competitors after the initial 24-month exclusivity window, subject to a right of first negotiation in Fairmont's favor. This addresses the business team's concern that an unlimited exclusivity term would foreclose other OEM deals already in early discussion.</w:t>
      </w:r>
    </w:p>
    <w:p>
      <w:pPr>
        <w:pStyle w:val="Heading2"/>
      </w:pPr>
      <w:r>
        <w:t>3. IP Ownership and Improvements (Section 5)</w:t>
      </w:r>
    </w:p>
    <w:p>
      <w:r>
        <w:t>Struck Fairmont's proposed language granting it ownership of "derivative improvements" to the licensed technology. Replaced with a joint-ownership structure limited to improvements that are (a) jointly developed and (b) specifically documented in a improvement log maintained under Section 5.4. Background IP and any improvements developed solely by Linden personnel remain Linden's exclusively.</w:t>
      </w:r>
    </w:p>
    <w:p>
      <w:r>
        <w:t>This is the most heavily negotiated point historically in Linden's OEM agreements — the original draft would have effectively transferred ownership of any incremental engineering work back to Fairmont, undermining the value of Linden's platform across other OEM relationships.</w:t>
      </w:r>
    </w:p>
    <w:p>
      <w:pPr>
        <w:pStyle w:val="Heading2"/>
      </w:pPr>
      <w:r>
        <w:t>4. Royalty and Audit Rights (Section 6)</w:t>
      </w:r>
    </w:p>
    <w:p>
      <w:r>
        <w:t>Added a standard audit-rights clause (Section 6.5) permitting Linden to inspect Fairmont's unit-sales records on 30 days' notice, no more than once per year, at Linden's expense unless a discrepancy of 5% or more is found, in which case Fairmont bears the audit cost. This is consistent with the audit mechanics in Linden's Meridian and Castleview OEM licences and should not be a sticking point.</w:t>
      </w:r>
    </w:p>
    <w:p>
      <w:pPr>
        <w:pStyle w:val="Heading2"/>
      </w:pPr>
      <w:r>
        <w:t>5. Confidentiality and Data Processing (Section 8)</w:t>
      </w:r>
    </w:p>
    <w:p>
      <w:r>
        <w:t>Added cross-reference to a separate Data Processing Addendum for any telemetry data collected from licensed units in the field, since Fairmont's draft did not address data flows at all. Flagged for follow-up: need to confirm with Linden's engineering team whether field telemetry includes any personal data before finalizing the DPA terms.</w:t>
      </w:r>
    </w:p>
    <w:p>
      <w:pPr>
        <w:pStyle w:val="Heading2"/>
      </w:pPr>
      <w:r>
        <w:t>6. Term and Termination (Section 10)</w:t>
      </w:r>
    </w:p>
    <w:p>
      <w:r>
        <w:t>Revised the termination-for-convenience provision to require 180 days' notice (from Fairmont's proposed 30 days), matching the lead time Linden's manufacturing team says it needs to wind down component sourcing. Also added a survival clause for the confidentiality, IP ownership, and audit provisions post-termination.</w:t>
      </w:r>
    </w:p>
    <w:p>
      <w:pPr>
        <w:pStyle w:val="Heading2"/>
      </w:pPr>
      <w:r>
        <w:t>7. Open Items for Partner Sign-Off</w:t>
      </w:r>
    </w:p>
    <w:p>
      <w:pPr>
        <w:pStyle w:val="ListNumber"/>
      </w:pPr>
      <w:r>
        <w:t>Confirm business team's position on the 24-month exclusivity window length before this goes back to Fairmont.</w:t>
      </w:r>
    </w:p>
    <w:p>
      <w:pPr>
        <w:pStyle w:val="ListNumber"/>
      </w:pPr>
      <w:r>
        <w:t>Engineering to confirm scope of field telemetry data collection for the DPA cross-reference.</w:t>
      </w:r>
    </w:p>
    <w:p>
      <w:pPr>
        <w:pStyle w:val="ListNumber"/>
      </w:pPr>
      <w:r>
        <w:t>Partner review of the field-of-use narrowing in Section 2.1 given potential pushback from Fairmont on scope.</w:t>
      </w:r>
    </w:p>
    <w:p>
      <w:pPr>
        <w:pStyle w:val="ListNumber"/>
      </w:pPr>
      <w:r>
        <w:t>Confirm whether the joint-improvement log mechanic in Section 5.4 is workable operationally, or whether it will just never get maintained in practice.</w:t>
      </w:r>
    </w:p>
    <w:p>
      <w:r>
        <w:t>Redline and this note are ready for partner review. Once comments are incorporated, next step is to send to Fairmont's counsel with a short cover email summarizing items 1, 3, and 6 as the substantive changes from their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